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7A2FA7"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A33C62" w:rsidP="00357B4E">
            <w:pPr>
              <w:pStyle w:val="DHHSmainsubheading"/>
              <w:rPr>
                <w:rFonts w:eastAsia="SimSun" w:hint="eastAsia"/>
              </w:rPr>
            </w:pPr>
            <w:r>
              <w:t>信息说明书4：典型睡眠行为：1–2岁学步幼儿</w:t>
            </w:r>
          </w:p>
          <w:p w:rsidR="00D27193" w:rsidRPr="00D27193" w:rsidRDefault="00D27193" w:rsidP="00357B4E">
            <w:pPr>
              <w:pStyle w:val="DHHSmainsubheading"/>
              <w:rPr>
                <w:rFonts w:eastAsia="SimSun" w:hint="eastAsia"/>
                <w:szCs w:val="28"/>
              </w:rPr>
            </w:pPr>
            <w:r>
              <w:rPr>
                <w:rFonts w:eastAsia="SimSun" w:hint="eastAsia"/>
              </w:rPr>
              <w:t>（简体中文）</w:t>
            </w:r>
          </w:p>
        </w:tc>
      </w:tr>
    </w:tbl>
    <w:p w:rsidR="007173CA" w:rsidRDefault="00154ADB" w:rsidP="00154ADB">
      <w:pPr>
        <w:pStyle w:val="Heading1"/>
      </w:pPr>
      <w:r>
        <w:t>概述</w:t>
      </w:r>
    </w:p>
    <w:p w:rsidR="00154ADB" w:rsidRDefault="00154ADB" w:rsidP="00154ADB">
      <w:pPr>
        <w:pStyle w:val="DHHSbullet1"/>
      </w:pPr>
      <w:r>
        <w:t>这个年龄段的学步幼儿通常每24小时睡10–14小时，其中包括白天一到三小时的小睡。</w:t>
      </w:r>
    </w:p>
    <w:p w:rsidR="00154ADB" w:rsidRDefault="00154ADB" w:rsidP="00154ADB">
      <w:pPr>
        <w:pStyle w:val="DHHSbullet1"/>
      </w:pPr>
      <w:r>
        <w:t>有些学步幼儿仍会在夜间醒来，需要你安抚，尤其是如果孩子有夜间恐惧的话。</w:t>
      </w:r>
    </w:p>
    <w:p w:rsidR="00154ADB" w:rsidRPr="00154ADB" w:rsidRDefault="00154ADB" w:rsidP="00154ADB">
      <w:pPr>
        <w:pStyle w:val="DHHSbullet1"/>
      </w:pPr>
      <w:r>
        <w:t>在18个月左右时，有些学步幼儿会出现睡眠减退</w:t>
      </w:r>
      <w:r w:rsidR="004D22CB">
        <w:rPr>
          <w:rFonts w:eastAsia="SimSun" w:hint="eastAsia"/>
        </w:rPr>
        <w:t>——</w:t>
      </w:r>
      <w:r>
        <w:t>通常睡眠良好的孩子可能会突然拒绝睡觉或在夜间醒来。这种情况是暂时的，通常会随着孩子长大而消除。</w:t>
      </w:r>
    </w:p>
    <w:p w:rsidR="007173CA" w:rsidRDefault="007173CA" w:rsidP="007173CA">
      <w:pPr>
        <w:pStyle w:val="DHHSbody"/>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p>
    <w:p w:rsidR="0025683B" w:rsidRDefault="0025683B" w:rsidP="00983B18">
      <w:pPr>
        <w:pStyle w:val="Heading1"/>
      </w:pPr>
      <w:r>
        <w:lastRenderedPageBreak/>
        <w:t>睡眠模式和行为</w:t>
      </w:r>
    </w:p>
    <w:p w:rsidR="00404600" w:rsidRDefault="0047276D" w:rsidP="0047276D">
      <w:pPr>
        <w:pStyle w:val="DHHSbody"/>
      </w:pPr>
      <w:r>
        <w:t>从12个月左右起，学步幼儿通常睡眠持续时间延长，醒来次数减少，而且夜间睡眠增加。</w:t>
      </w:r>
    </w:p>
    <w:p w:rsidR="00404600" w:rsidRDefault="0047276D" w:rsidP="0047276D">
      <w:pPr>
        <w:pStyle w:val="DHHSbody"/>
      </w:pPr>
      <w:r>
        <w:t>12个月到两岁的学步幼儿经常每24小时睡10-14小时，其中包括一到三小时的小睡。</w:t>
      </w:r>
    </w:p>
    <w:p w:rsidR="00404600" w:rsidRDefault="0047276D" w:rsidP="0047276D">
      <w:pPr>
        <w:pStyle w:val="DHHSbody"/>
      </w:pPr>
      <w:r>
        <w:t xml:space="preserve">这有助于确保他们有精力以最佳状态成长和活动。 </w:t>
      </w:r>
    </w:p>
    <w:p w:rsidR="00154ADB" w:rsidRDefault="00154ADB" w:rsidP="0047276D">
      <w:pPr>
        <w:pStyle w:val="DHHSbody"/>
      </w:pPr>
      <w:r>
        <w:t>每个孩子都是不同的，所以如果你孩子的睡眠模式与上述的不同，不要太担心。如果你对孩子感到担心，请联系妇幼保健护士、医生或Maternal and Child Health热线（13 22 29）。</w:t>
      </w:r>
    </w:p>
    <w:p w:rsidR="004F23DE" w:rsidRPr="004F23DE" w:rsidRDefault="004F23DE" w:rsidP="00983B18">
      <w:pPr>
        <w:pStyle w:val="Heading2"/>
      </w:pPr>
      <w:r>
        <w:t>睡眠节奏</w:t>
      </w:r>
    </w:p>
    <w:p w:rsidR="00646AEB" w:rsidRDefault="0047276D" w:rsidP="0047276D">
      <w:pPr>
        <w:pStyle w:val="DHHSbody"/>
      </w:pPr>
      <w:r>
        <w:t>这个时期，学步幼儿可能会减少白天小睡的次数和持续时间，从两次小睡减少到一次时间较长的白天小睡。</w:t>
      </w:r>
    </w:p>
    <w:p w:rsidR="0047276D" w:rsidRPr="00983B18" w:rsidRDefault="007B35AE" w:rsidP="00983B18">
      <w:pPr>
        <w:pStyle w:val="DHHSbody"/>
      </w:pPr>
      <w:r>
        <w:t>孩子夜间睡眠持续时间通常会更长，但夜间醒来在有些学步幼儿中仍然较常见。</w:t>
      </w:r>
    </w:p>
    <w:p w:rsidR="004F23DE" w:rsidRDefault="00154ADB" w:rsidP="0047276D">
      <w:pPr>
        <w:pStyle w:val="DHHSbody"/>
      </w:pPr>
      <w:r>
        <w:t>学步幼儿出现夜晚恐惧是正常的。你的孩子因此可能需要更多安抚。</w:t>
      </w:r>
    </w:p>
    <w:p w:rsidR="00646AEB" w:rsidRDefault="00646AEB" w:rsidP="0047276D">
      <w:pPr>
        <w:pStyle w:val="DHHSbody"/>
      </w:pPr>
      <w:r>
        <w:t>他们还可能对父母或照顾者产生更多情感依恋，这会在就寝时造成分离焦虑和苦恼。有关儿童焦虑的更多信息，请查看网站：Better Health Channel &lt;https://www.betterhealth.vic.gov.au/child-health&gt;。</w:t>
      </w:r>
    </w:p>
    <w:p w:rsidR="00646AEB" w:rsidRDefault="0047276D" w:rsidP="0047276D">
      <w:pPr>
        <w:pStyle w:val="DHHSbody"/>
      </w:pPr>
      <w:r>
        <w:t>他们可能会开始在晚上抵触睡觉，想要和家人一起熬夜。这种情况通常在18个月左右时最严重，但随着年龄增长通常会消失。</w:t>
      </w:r>
    </w:p>
    <w:p w:rsidR="004F23DE" w:rsidRDefault="004F23DE" w:rsidP="00983B18">
      <w:pPr>
        <w:pStyle w:val="Heading2"/>
      </w:pPr>
      <w:r>
        <w:t>安定</w:t>
      </w:r>
    </w:p>
    <w:p w:rsidR="0047276D" w:rsidRPr="00983B18" w:rsidRDefault="00646AEB" w:rsidP="00983B18">
      <w:pPr>
        <w:pStyle w:val="DHHSbody"/>
      </w:pPr>
      <w:r>
        <w:t>有些父母和照顾者可能会发现，睡眠或安定成了问题。</w:t>
      </w:r>
    </w:p>
    <w:p w:rsidR="004F23DE" w:rsidRDefault="0047276D" w:rsidP="0047276D">
      <w:pPr>
        <w:pStyle w:val="DHHSbody"/>
      </w:pPr>
      <w:r>
        <w:t>环境因素和家庭关系对于帮助这个年龄段的学步幼儿睡眠和预防出现睡眠问题尤其重要。尽量对孩子的需求作出反应——重要的是应该让孩子知道，如果他们感到苦恼，你会给他们情绪和身体安慰。你可以通过了解孩子的暗示、疲劳迹象和哭声大小做到这一点。通过理解孩子以及与孩子保持联系，你将能促进积极的睡眠模式。</w:t>
      </w:r>
    </w:p>
    <w:p w:rsidR="00EB003A" w:rsidRDefault="00EB003A" w:rsidP="00983B18">
      <w:pPr>
        <w:pStyle w:val="DHHSbody"/>
      </w:pPr>
      <w:r>
        <w:t>常规和环境对于帮助学步幼儿入睡有重要的作用——他们需要得到暗示，告诉他们已到了睡觉时间，而这种暗示通常来自他们的外部环境。这可以是昏暗的房间，或周围熟悉的物品。</w:t>
      </w:r>
    </w:p>
    <w:p w:rsidR="0047276D" w:rsidRPr="00983B18" w:rsidRDefault="0047276D" w:rsidP="00983B18">
      <w:pPr>
        <w:pStyle w:val="DHHSbody"/>
      </w:pPr>
      <w:r>
        <w:t>限制晚上看屏幕的时间和采用固定的就寝常规，比如洗澡、看书、唱歌和上床，也有助于预防和减少安定的问题和夜间醒来。</w:t>
      </w:r>
    </w:p>
    <w:p w:rsidR="004F23DE" w:rsidRPr="004F23DE" w:rsidRDefault="004F23DE" w:rsidP="00983B18">
      <w:pPr>
        <w:pStyle w:val="Heading2"/>
      </w:pPr>
      <w:r>
        <w:lastRenderedPageBreak/>
        <w:t>睡眠减退</w:t>
      </w:r>
    </w:p>
    <w:p w:rsidR="004F23DE" w:rsidRDefault="0047276D" w:rsidP="0047276D">
      <w:pPr>
        <w:pStyle w:val="DHHSbody"/>
      </w:pPr>
      <w:r>
        <w:t>从18个月左右起，有些通常睡眠良好的学步幼儿会突然拒绝睡觉，或在夜间醒来后不会自己再次入睡。</w:t>
      </w:r>
    </w:p>
    <w:p w:rsidR="004F23DE" w:rsidRDefault="0047276D" w:rsidP="0047276D">
      <w:pPr>
        <w:pStyle w:val="DHHSbody"/>
      </w:pPr>
      <w:r>
        <w:t>这称为</w:t>
      </w:r>
      <w:r w:rsidRPr="00983B18">
        <w:rPr>
          <w:b/>
          <w:bCs/>
        </w:rPr>
        <w:t>睡眠减退</w:t>
      </w:r>
      <w:r>
        <w:t>。</w:t>
      </w:r>
    </w:p>
    <w:p w:rsidR="004F23DE" w:rsidRDefault="007B35AE" w:rsidP="0047276D">
      <w:pPr>
        <w:pStyle w:val="DHHSbody"/>
      </w:pPr>
      <w:r>
        <w:t>睡眠减退通常是暂时的，会在儿童人生的很多时间点发生。</w:t>
      </w:r>
    </w:p>
    <w:p w:rsidR="00EB003A" w:rsidRDefault="0047276D" w:rsidP="0047276D">
      <w:pPr>
        <w:pStyle w:val="DHHSbody"/>
      </w:pPr>
      <w:r>
        <w:t>它经常与成长和发育迅速的阶段有关，但也可能由于其他因素造成，比如：</w:t>
      </w:r>
    </w:p>
    <w:p w:rsidR="00EB003A" w:rsidRDefault="00EB003A" w:rsidP="00EB003A">
      <w:pPr>
        <w:pStyle w:val="DHHSbullet1"/>
      </w:pPr>
      <w:r>
        <w:t>出牙</w:t>
      </w:r>
    </w:p>
    <w:p w:rsidR="00EB003A" w:rsidRDefault="0047276D" w:rsidP="00EB003A">
      <w:pPr>
        <w:pStyle w:val="DHHSbullet1"/>
      </w:pPr>
      <w:r>
        <w:t>常规发生变化</w:t>
      </w:r>
    </w:p>
    <w:p w:rsidR="00EB003A" w:rsidRDefault="0047276D" w:rsidP="00EB003A">
      <w:pPr>
        <w:pStyle w:val="DHHSbullet1"/>
      </w:pPr>
      <w:r>
        <w:t>生病</w:t>
      </w:r>
    </w:p>
    <w:p w:rsidR="00EB003A" w:rsidRDefault="0047276D" w:rsidP="00EB003A">
      <w:pPr>
        <w:pStyle w:val="DHHSbullet1"/>
      </w:pPr>
      <w:r>
        <w:t>旅行</w:t>
      </w:r>
    </w:p>
    <w:p w:rsidR="004F23DE" w:rsidRDefault="0047276D" w:rsidP="00EB003A">
      <w:pPr>
        <w:pStyle w:val="DHHSbullet1"/>
      </w:pPr>
      <w:r>
        <w:t>压力。</w:t>
      </w:r>
    </w:p>
    <w:p w:rsidR="00EB003A" w:rsidRDefault="00EB003A" w:rsidP="00983B18">
      <w:pPr>
        <w:pStyle w:val="DHHSbody"/>
      </w:pPr>
    </w:p>
    <w:p w:rsidR="0047276D" w:rsidRPr="00983B18" w:rsidRDefault="0047276D" w:rsidP="00983B18">
      <w:pPr>
        <w:pStyle w:val="DHHSbody"/>
      </w:pPr>
      <w:r>
        <w:t>如果孩子出现睡眠减退，请保持就寝常规的稳定。保持镇静，并给孩子必要的安慰和保证，但坚持就寝时间必须睡觉。</w:t>
      </w:r>
    </w:p>
    <w:p w:rsidR="0047276D" w:rsidRPr="00983B18" w:rsidRDefault="0047276D" w:rsidP="00983B18">
      <w:pPr>
        <w:pStyle w:val="DHHSbody"/>
      </w:pPr>
      <w:r>
        <w:t>一些可用于培养积极的睡眠行为的方法包括：</w:t>
      </w:r>
    </w:p>
    <w:p w:rsidR="00BE2D41" w:rsidRDefault="00BE2D41" w:rsidP="00983B18">
      <w:pPr>
        <w:pStyle w:val="DHHSbullet1"/>
      </w:pPr>
      <w:r>
        <w:t>与孩子保持联系——培养紧密的关系，使孩子感到安全和有保障</w:t>
      </w:r>
    </w:p>
    <w:p w:rsidR="0047276D" w:rsidRPr="0047276D" w:rsidRDefault="00A33C62" w:rsidP="00983B18">
      <w:pPr>
        <w:pStyle w:val="DHHSbullet1"/>
      </w:pPr>
      <w:r>
        <w:t>识别</w:t>
      </w:r>
      <w:r w:rsidR="0047276D" w:rsidRPr="00AF185E">
        <w:rPr>
          <w:b/>
          <w:bCs/>
        </w:rPr>
        <w:t>疲劳迹象</w:t>
      </w:r>
      <w:r>
        <w:t>并对此作出反应</w:t>
      </w:r>
    </w:p>
    <w:p w:rsidR="0047276D" w:rsidRPr="0047276D" w:rsidRDefault="00A33C62" w:rsidP="00983B18">
      <w:pPr>
        <w:pStyle w:val="DHHSbullet1"/>
      </w:pPr>
      <w:r>
        <w:t>采用积极和稳定一致的</w:t>
      </w:r>
      <w:r w:rsidR="0047276D" w:rsidRPr="00983B18">
        <w:rPr>
          <w:b/>
          <w:bCs/>
        </w:rPr>
        <w:t>就寝常规</w:t>
      </w:r>
    </w:p>
    <w:p w:rsidR="0047276D" w:rsidRPr="0047276D" w:rsidRDefault="00A33C62" w:rsidP="00BE2D41">
      <w:pPr>
        <w:pStyle w:val="DHHSbullet1"/>
      </w:pPr>
      <w:r>
        <w:rPr>
          <w:b/>
        </w:rPr>
        <w:t>从婴儿床转到普通床</w:t>
      </w:r>
      <w:r w:rsidR="00EB003A">
        <w:t>——如果孩子试图从婴儿床里爬出来，就让孩子改睡普通的床。确保家具和睡眠环境安全。</w:t>
      </w:r>
    </w:p>
    <w:p w:rsidR="00D86384" w:rsidRPr="00D010BE" w:rsidRDefault="007D1DB6" w:rsidP="00983B18">
      <w:pPr>
        <w:pStyle w:val="DHHSbodyafterbullets"/>
      </w:pPr>
      <w:r>
        <w:t>如要详细了解上述每一项内容，请下载“信息说明书9：预防睡眠问题：1–3岁学步幼儿”，网站：</w:t>
      </w:r>
      <w:r w:rsidR="00305D88">
        <w:fldChar w:fldCharType="begin"/>
      </w:r>
      <w:r w:rsidR="00305D88">
        <w:instrText>HYPERLINK "https://www.betterhealth.vic.gov.au/child-health"</w:instrText>
      </w:r>
      <w:r w:rsidR="00305D88">
        <w:fldChar w:fldCharType="separate"/>
      </w:r>
      <w:r>
        <w:rPr>
          <w:rStyle w:val="Hyperlink"/>
        </w:rPr>
        <w:t>Better Health Channel</w:t>
      </w:r>
      <w:r w:rsidR="00305D88">
        <w:fldChar w:fldCharType="end"/>
      </w:r>
      <w:r>
        <w:t>&lt;https://www.betterhealth.vic.gov.au/child-health&gt;。</w:t>
      </w: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42EE2">
            <w:pPr>
              <w:pStyle w:val="DHHSaccessibilitypara"/>
            </w:pPr>
            <w:r>
              <w:t>如需本表的无障碍格式版本，请</w:t>
            </w:r>
            <w:hyperlink r:id="rId14"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D27193" w:rsidRPr="00D27193" w:rsidRDefault="00D27193" w:rsidP="00B42EE2">
            <w:pPr>
              <w:pStyle w:val="DHHSbody"/>
              <w:rPr>
                <w:rFonts w:eastAsia="SimSun" w:hint="eastAsia"/>
              </w:rPr>
            </w:pPr>
            <w:r>
              <w:rPr>
                <w:rFonts w:cs="Arial"/>
                <w:b/>
                <w:bCs/>
                <w:color w:val="000000"/>
              </w:rPr>
              <w:t xml:space="preserve">ISBN </w:t>
            </w:r>
            <w:r>
              <w:rPr>
                <w:rFonts w:cs="Arial"/>
                <w:color w:val="000000"/>
              </w:rPr>
              <w:t>978-1-76069-317-6</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5" w:history="1">
              <w:r>
                <w:rPr>
                  <w:rStyle w:val="Hyperlink"/>
                </w:rPr>
                <w:t>Better Health Channel</w:t>
              </w:r>
            </w:hyperlink>
            <w:r>
              <w:t>&lt;https://www.betterhealth.vic.gov.au/child-health&gt;。</w:t>
            </w:r>
          </w:p>
          <w:p w:rsidR="007B35AE" w:rsidRPr="002802E3" w:rsidRDefault="007B35AE" w:rsidP="005C54B5">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6" w:history="1">
              <w:r>
                <w:rPr>
                  <w:rStyle w:val="Hyperlink"/>
                </w:rPr>
                <w:t>MCH Service网站</w:t>
              </w:r>
            </w:hyperlink>
            <w:r>
              <w:t>&lt;https://www2.health.vic.gov.au/maternal-child-health&gt;下载。</w:t>
            </w:r>
          </w:p>
        </w:tc>
      </w:tr>
    </w:tbl>
    <w:p w:rsidR="00B2752E" w:rsidRPr="00906490" w:rsidRDefault="00B2752E" w:rsidP="00FF6D9D">
      <w:pPr>
        <w:pStyle w:val="DHHSbody"/>
      </w:pPr>
      <w:bookmarkStart w:id="0" w:name="_GoBack"/>
      <w:bookmarkEnd w:id="0"/>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4D" w:rsidRDefault="00237F4D">
      <w:r>
        <w:separator/>
      </w:r>
    </w:p>
  </w:endnote>
  <w:endnote w:type="continuationSeparator" w:id="0">
    <w:p w:rsidR="00237F4D" w:rsidRDefault="00237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F65AA9" w:rsidRDefault="000E0970"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A11421" w:rsidRDefault="00740972" w:rsidP="00983B18">
    <w:pPr>
      <w:pStyle w:val="DHHSfooter"/>
      <w:spacing w:before="240"/>
    </w:pPr>
    <w:r>
      <w:t>Sleep and settling for early childhood factsheet 4: Typical sleep behaviour – toddlers 1–2 years – Simplified Chinese</w:t>
    </w:r>
    <w:r w:rsidR="00FF2A4E">
      <w:ptab w:relativeTo="margin" w:alignment="right" w:leader="none"/>
    </w:r>
    <w:r w:rsidR="00305D88" w:rsidRPr="00A11421">
      <w:fldChar w:fldCharType="begin"/>
    </w:r>
    <w:r w:rsidR="009D70A4" w:rsidRPr="00A11421">
      <w:instrText xml:space="preserve"> PAGE </w:instrText>
    </w:r>
    <w:r w:rsidR="00305D88" w:rsidRPr="00A11421">
      <w:fldChar w:fldCharType="separate"/>
    </w:r>
    <w:r w:rsidR="00D27193">
      <w:rPr>
        <w:noProof/>
      </w:rPr>
      <w:t>2</w:t>
    </w:r>
    <w:r w:rsidR="00305D88"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4D" w:rsidRDefault="00237F4D" w:rsidP="002862F1">
      <w:r>
        <w:separator/>
      </w:r>
    </w:p>
  </w:footnote>
  <w:footnote w:type="continuationSeparator" w:id="0">
    <w:p w:rsidR="00237F4D" w:rsidRDefault="00237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F3" w:rsidRDefault="003C6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51568D" w:rsidRDefault="009D70A4"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9F3" w:rsidRDefault="003C69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344D11"/>
    <w:rsid w:val="000072B6"/>
    <w:rsid w:val="0001021B"/>
    <w:rsid w:val="00011D89"/>
    <w:rsid w:val="000154FD"/>
    <w:rsid w:val="0002297B"/>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00AB"/>
    <w:rsid w:val="00152073"/>
    <w:rsid w:val="00154ADB"/>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0FBE"/>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07612"/>
    <w:rsid w:val="0021053D"/>
    <w:rsid w:val="00210A92"/>
    <w:rsid w:val="00216C03"/>
    <w:rsid w:val="00220C04"/>
    <w:rsid w:val="0022278D"/>
    <w:rsid w:val="0022701F"/>
    <w:rsid w:val="002333F5"/>
    <w:rsid w:val="00233724"/>
    <w:rsid w:val="00237F4D"/>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19B6"/>
    <w:rsid w:val="0028213D"/>
    <w:rsid w:val="002862F1"/>
    <w:rsid w:val="00291373"/>
    <w:rsid w:val="0029597D"/>
    <w:rsid w:val="002962C3"/>
    <w:rsid w:val="0029752B"/>
    <w:rsid w:val="002A483C"/>
    <w:rsid w:val="002B0C7C"/>
    <w:rsid w:val="002B0F01"/>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4D82"/>
    <w:rsid w:val="002F5F31"/>
    <w:rsid w:val="002F5F46"/>
    <w:rsid w:val="00302216"/>
    <w:rsid w:val="00303E53"/>
    <w:rsid w:val="00305D88"/>
    <w:rsid w:val="00306E5F"/>
    <w:rsid w:val="00307E14"/>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69F3"/>
    <w:rsid w:val="003C7897"/>
    <w:rsid w:val="003C7A3F"/>
    <w:rsid w:val="003D2766"/>
    <w:rsid w:val="003D2AB4"/>
    <w:rsid w:val="003D3E8F"/>
    <w:rsid w:val="003D6475"/>
    <w:rsid w:val="003E375C"/>
    <w:rsid w:val="003E4086"/>
    <w:rsid w:val="003F0445"/>
    <w:rsid w:val="003F0CF0"/>
    <w:rsid w:val="003F14B1"/>
    <w:rsid w:val="003F3289"/>
    <w:rsid w:val="004013C7"/>
    <w:rsid w:val="00401FCF"/>
    <w:rsid w:val="00404600"/>
    <w:rsid w:val="00406285"/>
    <w:rsid w:val="00413932"/>
    <w:rsid w:val="00413CAD"/>
    <w:rsid w:val="00413CDD"/>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2DF"/>
    <w:rsid w:val="004A3E81"/>
    <w:rsid w:val="004A5C62"/>
    <w:rsid w:val="004A707D"/>
    <w:rsid w:val="004B1AC9"/>
    <w:rsid w:val="004C6EEE"/>
    <w:rsid w:val="004C702B"/>
    <w:rsid w:val="004D0033"/>
    <w:rsid w:val="004D016B"/>
    <w:rsid w:val="004D09AF"/>
    <w:rsid w:val="004D1B22"/>
    <w:rsid w:val="004D22CB"/>
    <w:rsid w:val="004D36F2"/>
    <w:rsid w:val="004E1106"/>
    <w:rsid w:val="004E138F"/>
    <w:rsid w:val="004E4649"/>
    <w:rsid w:val="004E4EB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59E4"/>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AEB"/>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3519C"/>
    <w:rsid w:val="00740972"/>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2FA7"/>
    <w:rsid w:val="007B0914"/>
    <w:rsid w:val="007B1374"/>
    <w:rsid w:val="007B35AE"/>
    <w:rsid w:val="007B589F"/>
    <w:rsid w:val="007B6186"/>
    <w:rsid w:val="007B73BC"/>
    <w:rsid w:val="007C20B9"/>
    <w:rsid w:val="007C7301"/>
    <w:rsid w:val="007C7859"/>
    <w:rsid w:val="007D1DB6"/>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14B4"/>
    <w:rsid w:val="008338A2"/>
    <w:rsid w:val="0084087D"/>
    <w:rsid w:val="00841AA9"/>
    <w:rsid w:val="00853EE4"/>
    <w:rsid w:val="00855535"/>
    <w:rsid w:val="00857C5A"/>
    <w:rsid w:val="00860F1D"/>
    <w:rsid w:val="0086255E"/>
    <w:rsid w:val="008633F0"/>
    <w:rsid w:val="0086724F"/>
    <w:rsid w:val="00867D9D"/>
    <w:rsid w:val="00870555"/>
    <w:rsid w:val="00870CB7"/>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06E4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2F1A"/>
    <w:rsid w:val="0097559F"/>
    <w:rsid w:val="00983B18"/>
    <w:rsid w:val="009853E1"/>
    <w:rsid w:val="00986E6B"/>
    <w:rsid w:val="00991769"/>
    <w:rsid w:val="00994386"/>
    <w:rsid w:val="009A13D8"/>
    <w:rsid w:val="009A279E"/>
    <w:rsid w:val="009A4E24"/>
    <w:rsid w:val="009B0A6F"/>
    <w:rsid w:val="009B0A94"/>
    <w:rsid w:val="009B59E9"/>
    <w:rsid w:val="009B70AA"/>
    <w:rsid w:val="009C2859"/>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338"/>
    <w:rsid w:val="00AE23B5"/>
    <w:rsid w:val="00AE3005"/>
    <w:rsid w:val="00AE3BD5"/>
    <w:rsid w:val="00AE59A0"/>
    <w:rsid w:val="00AE76E1"/>
    <w:rsid w:val="00AF0C57"/>
    <w:rsid w:val="00AF185E"/>
    <w:rsid w:val="00AF26F3"/>
    <w:rsid w:val="00AF5F04"/>
    <w:rsid w:val="00B00672"/>
    <w:rsid w:val="00B01B4D"/>
    <w:rsid w:val="00B02D52"/>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0F96"/>
    <w:rsid w:val="00B5273A"/>
    <w:rsid w:val="00B547F4"/>
    <w:rsid w:val="00B57329"/>
    <w:rsid w:val="00B60E61"/>
    <w:rsid w:val="00B62B50"/>
    <w:rsid w:val="00B635B7"/>
    <w:rsid w:val="00B63AE8"/>
    <w:rsid w:val="00B65950"/>
    <w:rsid w:val="00B66D83"/>
    <w:rsid w:val="00B672C0"/>
    <w:rsid w:val="00B75646"/>
    <w:rsid w:val="00B82AF9"/>
    <w:rsid w:val="00B90729"/>
    <w:rsid w:val="00B907DA"/>
    <w:rsid w:val="00B950BC"/>
    <w:rsid w:val="00B95A48"/>
    <w:rsid w:val="00B9714C"/>
    <w:rsid w:val="00BA29AD"/>
    <w:rsid w:val="00BA3F8D"/>
    <w:rsid w:val="00BB4A4E"/>
    <w:rsid w:val="00BB7A10"/>
    <w:rsid w:val="00BC7468"/>
    <w:rsid w:val="00BC7D4F"/>
    <w:rsid w:val="00BC7ED7"/>
    <w:rsid w:val="00BD2850"/>
    <w:rsid w:val="00BE28D2"/>
    <w:rsid w:val="00BE2D41"/>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356AE"/>
    <w:rsid w:val="00C4173A"/>
    <w:rsid w:val="00C52E92"/>
    <w:rsid w:val="00C602FF"/>
    <w:rsid w:val="00C61174"/>
    <w:rsid w:val="00C6148F"/>
    <w:rsid w:val="00C621B1"/>
    <w:rsid w:val="00C62F7A"/>
    <w:rsid w:val="00C632EE"/>
    <w:rsid w:val="00C63B9C"/>
    <w:rsid w:val="00C6682F"/>
    <w:rsid w:val="00C7275E"/>
    <w:rsid w:val="00C74C5D"/>
    <w:rsid w:val="00C863C4"/>
    <w:rsid w:val="00C920EA"/>
    <w:rsid w:val="00C93C3E"/>
    <w:rsid w:val="00C97AEA"/>
    <w:rsid w:val="00CA12E3"/>
    <w:rsid w:val="00CA6611"/>
    <w:rsid w:val="00CA6AE6"/>
    <w:rsid w:val="00CA782F"/>
    <w:rsid w:val="00CB3285"/>
    <w:rsid w:val="00CC0C72"/>
    <w:rsid w:val="00CC2BFD"/>
    <w:rsid w:val="00CD3476"/>
    <w:rsid w:val="00CD64DF"/>
    <w:rsid w:val="00CF2F50"/>
    <w:rsid w:val="00CF6198"/>
    <w:rsid w:val="00D010BE"/>
    <w:rsid w:val="00D02919"/>
    <w:rsid w:val="00D04C61"/>
    <w:rsid w:val="00D05B8D"/>
    <w:rsid w:val="00D065A2"/>
    <w:rsid w:val="00D07F00"/>
    <w:rsid w:val="00D15C6E"/>
    <w:rsid w:val="00D17B72"/>
    <w:rsid w:val="00D27193"/>
    <w:rsid w:val="00D3185C"/>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644"/>
    <w:rsid w:val="00DD6945"/>
    <w:rsid w:val="00DE3250"/>
    <w:rsid w:val="00DE6028"/>
    <w:rsid w:val="00DE78A3"/>
    <w:rsid w:val="00DF1A71"/>
    <w:rsid w:val="00DF68C7"/>
    <w:rsid w:val="00DF731A"/>
    <w:rsid w:val="00E11332"/>
    <w:rsid w:val="00E11352"/>
    <w:rsid w:val="00E1594F"/>
    <w:rsid w:val="00E170DC"/>
    <w:rsid w:val="00E26818"/>
    <w:rsid w:val="00E27FFC"/>
    <w:rsid w:val="00E30715"/>
    <w:rsid w:val="00E30B15"/>
    <w:rsid w:val="00E40181"/>
    <w:rsid w:val="00E56A01"/>
    <w:rsid w:val="00E629A1"/>
    <w:rsid w:val="00E6794C"/>
    <w:rsid w:val="00E71591"/>
    <w:rsid w:val="00E72FDE"/>
    <w:rsid w:val="00E80DE3"/>
    <w:rsid w:val="00E82C55"/>
    <w:rsid w:val="00E92AC3"/>
    <w:rsid w:val="00EB003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70A0"/>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14D"/>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836FE"/>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szCs w:val="20"/>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Arial"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Arial"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Cambria" w:hAnsi="Cambria"/>
      <w:szCs w:val="20"/>
    </w:rPr>
  </w:style>
  <w:style w:type="paragraph" w:styleId="TOC7">
    <w:name w:val="toc 7"/>
    <w:basedOn w:val="Normal"/>
    <w:next w:val="Normal"/>
    <w:autoRedefine/>
    <w:uiPriority w:val="39"/>
    <w:semiHidden/>
    <w:rsid w:val="0021053D"/>
    <w:pPr>
      <w:spacing w:before="0" w:after="0"/>
      <w:ind w:left="1200"/>
    </w:pPr>
    <w:rPr>
      <w:rFonts w:ascii="Cambria" w:eastAsia="Cambria" w:hAnsi="Cambria"/>
      <w:szCs w:val="20"/>
    </w:rPr>
  </w:style>
  <w:style w:type="paragraph" w:styleId="TOC8">
    <w:name w:val="toc 8"/>
    <w:basedOn w:val="Normal"/>
    <w:next w:val="Normal"/>
    <w:autoRedefine/>
    <w:uiPriority w:val="39"/>
    <w:semiHidden/>
    <w:rsid w:val="0021053D"/>
    <w:pPr>
      <w:spacing w:before="0" w:after="0"/>
      <w:ind w:left="1400"/>
    </w:pPr>
    <w:rPr>
      <w:rFonts w:ascii="Cambria" w:eastAsia="Cambria" w:hAnsi="Cambria"/>
      <w:szCs w:val="20"/>
    </w:rPr>
  </w:style>
  <w:style w:type="paragraph" w:styleId="TOC9">
    <w:name w:val="toc 9"/>
    <w:basedOn w:val="Normal"/>
    <w:next w:val="Normal"/>
    <w:autoRedefine/>
    <w:uiPriority w:val="39"/>
    <w:semiHidden/>
    <w:rsid w:val="0021053D"/>
    <w:pPr>
      <w:spacing w:before="0" w:after="0"/>
      <w:ind w:left="1600"/>
    </w:pPr>
    <w:rPr>
      <w:rFonts w:ascii="Cambria" w:eastAsia="Cambria"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Cambria" w:hAnsi="Cambria"/>
      <w:szCs w:val="20"/>
    </w:rPr>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Univers 45 Light" w:hAnsi="Univers 45 Light"/>
      <w:szCs w:val="22"/>
      <w:lang w:eastAsia="zh-CN"/>
    </w:rPr>
  </w:style>
  <w:style w:type="paragraph" w:styleId="Revision">
    <w:name w:val="Revision"/>
    <w:hidden/>
    <w:uiPriority w:val="71"/>
    <w:rsid w:val="00160189"/>
    <w:rPr>
      <w:rFonts w:ascii="Univers 45 Light" w:eastAsia="Univers 45 Light" w:hAnsi="Univers 45 Light"/>
      <w:szCs w:val="22"/>
    </w:rPr>
  </w:style>
</w:styles>
</file>

<file path=word/webSettings.xml><?xml version="1.0" encoding="utf-8"?>
<w:webSettings xmlns:r="http://schemas.openxmlformats.org/officeDocument/2006/relationships" xmlns:w="http://schemas.openxmlformats.org/wordprocessingml/2006/main">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13984-2577-4BA3-9FAC-54530162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2152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toddlers 1–2 years</dc:subject>
  <dc:creator>Maternal and Child Health Service</dc:creator>
  <cp:keywords>toddlers, sleep, settling</cp:keywords>
  <cp:lastModifiedBy>User</cp:lastModifiedBy>
  <cp:revision>4</cp:revision>
  <cp:lastPrinted>2019-10-29T04:35:00Z</cp:lastPrinted>
  <dcterms:created xsi:type="dcterms:W3CDTF">2020-03-04T05:48:00Z</dcterms:created>
  <dcterms:modified xsi:type="dcterms:W3CDTF">2020-03-24T22:35:00Z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