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7E70C" w14:textId="77777777" w:rsidR="0074696E" w:rsidRPr="004C6EEE" w:rsidRDefault="002554DB" w:rsidP="00EC40D5">
      <w:pPr>
        <w:pStyle w:val="Sectionbreakfirstpage"/>
      </w:pPr>
      <w:r>
        <w:rPr>
          <w:lang w:val="en-US" w:eastAsia="zh-CN"/>
        </w:rPr>
        <w:drawing>
          <wp:anchor distT="0" distB="0" distL="114300" distR="114300" simplePos="0" relativeHeight="251658240" behindDoc="1" locked="1" layoutInCell="1" allowOverlap="1" wp14:anchorId="396A2DA1" wp14:editId="39654EFB">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3254540" name="Picture 2">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70078A4D"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CF3258" w14:paraId="14B72721" w14:textId="77777777" w:rsidTr="00B07FF7">
        <w:trPr>
          <w:trHeight w:val="622"/>
        </w:trPr>
        <w:tc>
          <w:tcPr>
            <w:tcW w:w="10348" w:type="dxa"/>
            <w:tcMar>
              <w:top w:w="1531" w:type="dxa"/>
              <w:left w:w="0" w:type="dxa"/>
              <w:right w:w="0" w:type="dxa"/>
            </w:tcMar>
          </w:tcPr>
          <w:p w14:paraId="6C51AF18" w14:textId="77777777" w:rsidR="003B5733" w:rsidRPr="003B5733" w:rsidRDefault="002554DB" w:rsidP="003B5733">
            <w:pPr>
              <w:pStyle w:val="Documenttitle"/>
            </w:pPr>
            <w:r>
              <w:lastRenderedPageBreak/>
              <w:t>Monkeypox</w:t>
            </w:r>
          </w:p>
        </w:tc>
      </w:tr>
      <w:tr w:rsidR="00CF3258" w:rsidRPr="00EF630A" w14:paraId="248FAC0A" w14:textId="77777777" w:rsidTr="00B07FF7">
        <w:tc>
          <w:tcPr>
            <w:tcW w:w="10348" w:type="dxa"/>
          </w:tcPr>
          <w:p w14:paraId="5164D6C2" w14:textId="77777777" w:rsidR="003B5733" w:rsidRPr="00EF1F1A" w:rsidRDefault="002554DB" w:rsidP="005F44C0">
            <w:pPr>
              <w:pStyle w:val="Documentsubtitle"/>
              <w:rPr>
                <w:lang w:val="es-ES_tradnl"/>
              </w:rPr>
            </w:pPr>
            <w:r w:rsidRPr="00EF1F1A">
              <w:rPr>
                <w:lang w:val="es-ES_tradnl"/>
              </w:rPr>
              <w:t>Papel-kaalaman para sa mga konsyumer</w:t>
            </w:r>
          </w:p>
        </w:tc>
      </w:tr>
      <w:tr w:rsidR="00CF3258" w14:paraId="42A90BD9" w14:textId="77777777" w:rsidTr="00B07FF7">
        <w:tc>
          <w:tcPr>
            <w:tcW w:w="10348" w:type="dxa"/>
          </w:tcPr>
          <w:p w14:paraId="36C7D420" w14:textId="77777777" w:rsidR="003B5733" w:rsidRDefault="003627FE" w:rsidP="001E5058">
            <w:pPr>
              <w:pStyle w:val="Bannermarking"/>
            </w:pPr>
            <w:r>
              <w:fldChar w:fldCharType="begin"/>
            </w:r>
            <w:r>
              <w:instrText>FILLIN  "Type the protective marking" \d OFFICIAL \o  \* MERGEFORMAT</w:instrText>
            </w:r>
            <w:r>
              <w:fldChar w:fldCharType="separate"/>
            </w:r>
            <w:r w:rsidR="003F30C3">
              <w:t>OFFICIAL</w:t>
            </w:r>
            <w:r>
              <w:fldChar w:fldCharType="end"/>
            </w:r>
          </w:p>
          <w:p w14:paraId="2B2196F5" w14:textId="444B989B" w:rsidR="008D1729" w:rsidRPr="00EF1F1A" w:rsidRDefault="00EF1F1A" w:rsidP="001E5058">
            <w:pPr>
              <w:pStyle w:val="Bannermarking"/>
              <w:rPr>
                <w:b w:val="0"/>
                <w:bCs w:val="0"/>
              </w:rPr>
            </w:pPr>
            <w:r w:rsidRPr="00EF1F1A">
              <w:rPr>
                <w:b w:val="0"/>
                <w:bCs w:val="0"/>
              </w:rPr>
              <w:t>Filipino</w:t>
            </w:r>
          </w:p>
        </w:tc>
      </w:tr>
    </w:tbl>
    <w:p w14:paraId="6A384B50" w14:textId="77777777" w:rsidR="00C51F0A" w:rsidRPr="00B57329" w:rsidRDefault="002554DB" w:rsidP="76CA397E">
      <w:pPr>
        <w:pStyle w:val="Heading1"/>
      </w:pPr>
      <w:bookmarkStart w:id="0" w:name="_Toc104371283"/>
      <w:bookmarkStart w:id="1" w:name="_Hlk63948051"/>
      <w:r>
        <w:t>Ano ang monkeypox?</w:t>
      </w:r>
      <w:bookmarkEnd w:id="0"/>
    </w:p>
    <w:p w14:paraId="0CAE20D8" w14:textId="77777777" w:rsidR="76CA397E" w:rsidRPr="00946F45" w:rsidRDefault="002554DB" w:rsidP="001B3DC5">
      <w:pPr>
        <w:spacing w:before="100" w:beforeAutospacing="1" w:after="100" w:afterAutospacing="1" w:line="240" w:lineRule="auto"/>
        <w:rPr>
          <w:color w:val="000000" w:themeColor="text1"/>
          <w:szCs w:val="21"/>
          <w:lang w:eastAsia="en-GB"/>
        </w:rPr>
      </w:pPr>
      <w:bookmarkStart w:id="2" w:name="_Toc66711982"/>
      <w:bookmarkEnd w:id="1"/>
      <w:r w:rsidRPr="00946F45">
        <w:rPr>
          <w:rFonts w:cs="Arial"/>
          <w:color w:val="000000" w:themeColor="text1"/>
          <w:lang w:eastAsia="en-GB"/>
        </w:rPr>
        <w:t xml:space="preserve">Ang monkeypox ay isang bihira ngunit maaaring maging malubhang sakit na sanhi ng impeksyon ng monkeypox virus. Ang karaniwang resulta nito ay banayad na sakit kaugnay ng pantal. </w:t>
      </w:r>
    </w:p>
    <w:p w14:paraId="0F2EBDB6" w14:textId="77777777" w:rsidR="76CA397E" w:rsidRPr="00946F45" w:rsidRDefault="002554DB" w:rsidP="76CA397E">
      <w:pPr>
        <w:pStyle w:val="Body"/>
        <w:rPr>
          <w:color w:val="000000" w:themeColor="text1"/>
          <w:szCs w:val="21"/>
        </w:rPr>
      </w:pPr>
      <w:r w:rsidRPr="00946F45">
        <w:rPr>
          <w:rFonts w:eastAsia="Arial" w:cs="Arial"/>
          <w:color w:val="000000" w:themeColor="text1"/>
          <w:szCs w:val="21"/>
        </w:rPr>
        <w:t>Mula Mayo 2022, nagkaroon ng pandaigdigang pagtaas sa mga kaso ng MPX, sa mahigit 100 bansa. Ang MPX ay kasalukuyang kumakalat sa mga lokal na komunidad sa mga rehiyon kung saan hindi karaniwang nakikita ang MPX. Ang kasalukuyang pagkalat (outbreak) ay kadalasang nakakaapekto sa mga lalaki na nakikipagtalik sa kapwa lalaki.</w:t>
      </w:r>
    </w:p>
    <w:p w14:paraId="0F30AE49" w14:textId="77777777" w:rsidR="00C51F0A" w:rsidRDefault="002554DB" w:rsidP="76CA397E">
      <w:pPr>
        <w:pStyle w:val="Heading1"/>
        <w:spacing w:beforeAutospacing="1" w:afterAutospacing="1" w:line="240" w:lineRule="auto"/>
        <w:rPr>
          <w:rFonts w:eastAsia="Times New Roman" w:cs="Times New Roman"/>
          <w:strike/>
          <w:color w:val="222222"/>
          <w:sz w:val="21"/>
          <w:szCs w:val="21"/>
          <w:lang w:eastAsia="en-GB"/>
        </w:rPr>
      </w:pPr>
      <w:bookmarkStart w:id="3" w:name="_Toc104371284"/>
      <w:bookmarkEnd w:id="2"/>
      <w:r>
        <w:t>Paano naipapasa ang monkeypox</w:t>
      </w:r>
      <w:bookmarkEnd w:id="3"/>
    </w:p>
    <w:p w14:paraId="599ADEB7" w14:textId="77777777" w:rsidR="008D1729" w:rsidRPr="00946F45" w:rsidRDefault="002554DB" w:rsidP="008D1729">
      <w:pPr>
        <w:spacing w:before="100" w:beforeAutospacing="1" w:after="100" w:afterAutospacing="1" w:line="240" w:lineRule="auto"/>
        <w:rPr>
          <w:rFonts w:cs="Arial"/>
          <w:color w:val="000000" w:themeColor="text1"/>
          <w:szCs w:val="21"/>
          <w:lang w:eastAsia="en-GB"/>
        </w:rPr>
      </w:pPr>
      <w:bookmarkStart w:id="4" w:name="_Toc410717547"/>
      <w:bookmarkStart w:id="5" w:name="_Toc66711984"/>
      <w:r w:rsidRPr="00946F45">
        <w:rPr>
          <w:rFonts w:cs="Arial"/>
          <w:color w:val="000000" w:themeColor="text1"/>
          <w:szCs w:val="21"/>
          <w:lang w:eastAsia="en-GB"/>
        </w:rPr>
        <w:t>Ang monkeypox ay hindi madaling kumalat sa mga tao.</w:t>
      </w:r>
    </w:p>
    <w:p w14:paraId="255EF52A" w14:textId="77777777" w:rsidR="008D1729" w:rsidRPr="00946F45" w:rsidRDefault="002554DB" w:rsidP="008D1729">
      <w:pPr>
        <w:spacing w:before="100" w:beforeAutospacing="1" w:after="100" w:afterAutospacing="1" w:line="240" w:lineRule="auto"/>
        <w:rPr>
          <w:rFonts w:cs="Arial"/>
          <w:color w:val="000000" w:themeColor="text1"/>
          <w:szCs w:val="21"/>
          <w:lang w:eastAsia="en-GB"/>
        </w:rPr>
      </w:pPr>
      <w:r w:rsidRPr="00946F45">
        <w:rPr>
          <w:rFonts w:cs="Arial"/>
          <w:color w:val="000000" w:themeColor="text1"/>
          <w:szCs w:val="21"/>
          <w:lang w:eastAsia="en-GB"/>
        </w:rPr>
        <w:t>Ang pagkalat nang tao-sa-tao ay maaaring mangyari sa pamamagitan ng:</w:t>
      </w:r>
    </w:p>
    <w:p w14:paraId="46F00833" w14:textId="77777777" w:rsidR="008D1729" w:rsidRPr="00946F45" w:rsidRDefault="002554DB" w:rsidP="00B80D71">
      <w:pPr>
        <w:numPr>
          <w:ilvl w:val="0"/>
          <w:numId w:val="8"/>
        </w:numPr>
        <w:spacing w:before="100" w:beforeAutospacing="1" w:after="100" w:afterAutospacing="1" w:line="240" w:lineRule="auto"/>
        <w:rPr>
          <w:rFonts w:cs="Arial"/>
          <w:color w:val="000000" w:themeColor="text1"/>
          <w:szCs w:val="21"/>
          <w:lang w:eastAsia="en-GB"/>
        </w:rPr>
      </w:pPr>
      <w:r w:rsidRPr="00946F45">
        <w:rPr>
          <w:rFonts w:cs="Arial"/>
          <w:color w:val="000000" w:themeColor="text1"/>
          <w:szCs w:val="21"/>
          <w:lang w:eastAsia="en-GB"/>
        </w:rPr>
        <w:t>sekswal o matalik na nakihalubilo (intimate contact) sa isang taong nahawahan</w:t>
      </w:r>
    </w:p>
    <w:p w14:paraId="0177725C" w14:textId="77777777" w:rsidR="008D1729" w:rsidRPr="00946F45" w:rsidRDefault="002554DB" w:rsidP="00B80D71">
      <w:pPr>
        <w:numPr>
          <w:ilvl w:val="0"/>
          <w:numId w:val="8"/>
        </w:numPr>
        <w:spacing w:before="100" w:beforeAutospacing="1" w:after="100" w:afterAutospacing="1" w:line="240" w:lineRule="auto"/>
        <w:rPr>
          <w:rFonts w:cs="Arial"/>
          <w:color w:val="000000" w:themeColor="text1"/>
          <w:szCs w:val="21"/>
          <w:lang w:eastAsia="en-GB"/>
        </w:rPr>
      </w:pPr>
      <w:r w:rsidRPr="00946F45">
        <w:rPr>
          <w:rFonts w:cs="Arial"/>
          <w:color w:val="000000" w:themeColor="text1"/>
          <w:szCs w:val="21"/>
          <w:lang w:eastAsia="en-GB"/>
        </w:rPr>
        <w:t>nadaiti (contact) sa mga damit o linen (tulad ng mga kobre-kama o tuwalya) na ginamit ng isang taong nahawahan</w:t>
      </w:r>
    </w:p>
    <w:p w14:paraId="5E6AE120" w14:textId="77777777" w:rsidR="008D1729" w:rsidRPr="00946F45" w:rsidRDefault="002554DB" w:rsidP="00B80D71">
      <w:pPr>
        <w:numPr>
          <w:ilvl w:val="0"/>
          <w:numId w:val="8"/>
        </w:numPr>
        <w:spacing w:before="100" w:beforeAutospacing="1" w:after="100" w:afterAutospacing="1" w:line="240" w:lineRule="auto"/>
        <w:rPr>
          <w:rFonts w:cs="Arial"/>
          <w:color w:val="000000" w:themeColor="text1"/>
          <w:szCs w:val="21"/>
          <w:lang w:eastAsia="en-GB"/>
        </w:rPr>
      </w:pPr>
      <w:r w:rsidRPr="00946F45">
        <w:rPr>
          <w:rFonts w:cs="Arial"/>
          <w:color w:val="000000" w:themeColor="text1"/>
          <w:szCs w:val="21"/>
          <w:lang w:eastAsia="en-GB"/>
        </w:rPr>
        <w:t>direktang nadaiti (contact) ang mga sugat sa balat o langib ng monkeypox</w:t>
      </w:r>
    </w:p>
    <w:p w14:paraId="454B8130" w14:textId="77777777" w:rsidR="008D1729" w:rsidRPr="00946F45" w:rsidRDefault="002554DB" w:rsidP="00B80D71">
      <w:pPr>
        <w:numPr>
          <w:ilvl w:val="0"/>
          <w:numId w:val="8"/>
        </w:numPr>
        <w:spacing w:before="100" w:beforeAutospacing="1" w:after="100" w:afterAutospacing="1" w:line="240" w:lineRule="auto"/>
        <w:rPr>
          <w:rFonts w:cs="Arial"/>
          <w:color w:val="000000" w:themeColor="text1"/>
          <w:lang w:eastAsia="en-GB"/>
        </w:rPr>
      </w:pPr>
      <w:r w:rsidRPr="00946F45">
        <w:rPr>
          <w:rFonts w:cs="Arial"/>
          <w:color w:val="000000" w:themeColor="text1"/>
          <w:lang w:eastAsia="en-GB"/>
        </w:rPr>
        <w:t>mga respiratory droplet mula sa isang indibidwal na may monkeypox.</w:t>
      </w:r>
    </w:p>
    <w:p w14:paraId="7CA7D757" w14:textId="77777777" w:rsidR="008D1729" w:rsidRPr="00946F45" w:rsidRDefault="002554DB" w:rsidP="0E43994D">
      <w:pPr>
        <w:spacing w:before="100" w:beforeAutospacing="1" w:after="100" w:afterAutospacing="1" w:line="240" w:lineRule="auto"/>
        <w:rPr>
          <w:rFonts w:cs="Arial"/>
          <w:color w:val="000000" w:themeColor="text1"/>
          <w:lang w:eastAsia="en-GB"/>
        </w:rPr>
      </w:pPr>
      <w:r w:rsidRPr="00946F45">
        <w:rPr>
          <w:rFonts w:eastAsia="Arial" w:cs="Arial"/>
          <w:color w:val="000000" w:themeColor="text1"/>
          <w:szCs w:val="21"/>
        </w:rPr>
        <w:t>Hindi ito kumakalat sa pamamagitan ng kaswal na pakikihalubilo (casual contact). Sa mga endemic na lugar, ang pagkalat ng monkeypox ay maaaring mangyari kapag ang isang tao ay malapit na nakipag-ugnayan (close contact) sa isang ligaw na hayop (tulad ng daga) na nahawahan ng virus o nakakain ng ligaw na hayop na nakuha mula sa nahawahang hayop.</w:t>
      </w:r>
    </w:p>
    <w:p w14:paraId="4DFD1AB1" w14:textId="77777777" w:rsidR="008D1729" w:rsidRPr="00946F45" w:rsidRDefault="002554DB" w:rsidP="008D1729">
      <w:pPr>
        <w:spacing w:before="100" w:beforeAutospacing="1" w:after="100" w:afterAutospacing="1" w:line="240" w:lineRule="auto"/>
        <w:rPr>
          <w:rFonts w:cs="Arial"/>
          <w:color w:val="000000" w:themeColor="text1"/>
          <w:szCs w:val="21"/>
          <w:lang w:eastAsia="en-GB"/>
        </w:rPr>
      </w:pPr>
      <w:r w:rsidRPr="00946F45">
        <w:rPr>
          <w:rFonts w:cs="Arial"/>
          <w:color w:val="000000" w:themeColor="text1"/>
          <w:szCs w:val="21"/>
          <w:lang w:eastAsia="en-GB"/>
        </w:rPr>
        <w:t>Ang mga taong may monkeypox ay maaaring makahawa sa iba mula sa oras na sila ay magkaroon ng kanilang mga unang sintomas (na kadalasan ay lagnat, ngunit paminsan-minsan ay nagsisimula sa mga pantal) at hanggang sa mamuo, matuyo o matanggal ang mga langib ng pantal. </w:t>
      </w:r>
    </w:p>
    <w:p w14:paraId="01F5DC56" w14:textId="77777777" w:rsidR="00E149E2" w:rsidRDefault="002554DB" w:rsidP="00E149E2">
      <w:pPr>
        <w:pStyle w:val="Heading1"/>
      </w:pPr>
      <w:bookmarkStart w:id="6" w:name="_Toc104371285"/>
      <w:bookmarkEnd w:id="4"/>
      <w:bookmarkEnd w:id="5"/>
      <w:r>
        <w:t>Mga sintomas ng monkeypox</w:t>
      </w:r>
      <w:bookmarkEnd w:id="6"/>
    </w:p>
    <w:p w14:paraId="50126F29" w14:textId="77777777" w:rsidR="519A0F31" w:rsidRPr="00946F45" w:rsidRDefault="002554DB" w:rsidP="76CA397E">
      <w:pPr>
        <w:spacing w:beforeAutospacing="1" w:afterAutospacing="1" w:line="240" w:lineRule="auto"/>
        <w:rPr>
          <w:rFonts w:eastAsia="Arial" w:cs="Arial"/>
          <w:color w:val="000000" w:themeColor="text1"/>
          <w:szCs w:val="21"/>
        </w:rPr>
      </w:pPr>
      <w:r w:rsidRPr="00946F45">
        <w:rPr>
          <w:rFonts w:eastAsia="Arial" w:cs="Arial"/>
          <w:color w:val="000000" w:themeColor="text1"/>
          <w:szCs w:val="21"/>
        </w:rPr>
        <w:t>Maaaring magkaroon ng mga sintomas na hanggang 21 araw mula nang malapit na nakahalubilo (close contact) ang isang taong may MPX.</w:t>
      </w:r>
    </w:p>
    <w:p w14:paraId="29255A90" w14:textId="77777777" w:rsidR="00EF1F1A" w:rsidRPr="00946F45" w:rsidRDefault="00EF1F1A">
      <w:pPr>
        <w:spacing w:after="0" w:line="240" w:lineRule="auto"/>
        <w:rPr>
          <w:rFonts w:eastAsia="Arial" w:cs="Arial"/>
          <w:color w:val="000000" w:themeColor="text1"/>
          <w:szCs w:val="21"/>
        </w:rPr>
      </w:pPr>
      <w:r w:rsidRPr="00946F45">
        <w:rPr>
          <w:rFonts w:eastAsia="Arial" w:cs="Arial"/>
          <w:color w:val="000000" w:themeColor="text1"/>
          <w:szCs w:val="21"/>
        </w:rPr>
        <w:br w:type="page"/>
      </w:r>
    </w:p>
    <w:p w14:paraId="6E3F6045" w14:textId="232A4EFF" w:rsidR="519A0F31" w:rsidRPr="00946F45" w:rsidRDefault="002554DB" w:rsidP="76CA397E">
      <w:pPr>
        <w:spacing w:beforeAutospacing="1" w:afterAutospacing="1" w:line="240" w:lineRule="auto"/>
        <w:rPr>
          <w:rFonts w:eastAsia="Arial" w:cs="Arial"/>
          <w:color w:val="000000" w:themeColor="text1"/>
          <w:szCs w:val="21"/>
        </w:rPr>
      </w:pPr>
      <w:r w:rsidRPr="00946F45">
        <w:rPr>
          <w:rFonts w:eastAsia="Arial" w:cs="Arial"/>
          <w:color w:val="000000" w:themeColor="text1"/>
          <w:szCs w:val="21"/>
        </w:rPr>
        <w:lastRenderedPageBreak/>
        <w:t>Maaaring kabilang sa mga sintomas ng MPX ang pantal na maaaring masakit at makakaapekto sa anumang bahagi ng katawan kasama ang:</w:t>
      </w:r>
    </w:p>
    <w:p w14:paraId="105D28E3" w14:textId="77777777" w:rsidR="519A0F31" w:rsidRPr="00946F45" w:rsidRDefault="002554DB" w:rsidP="00B80D71">
      <w:pPr>
        <w:pStyle w:val="ListParagraph"/>
        <w:numPr>
          <w:ilvl w:val="0"/>
          <w:numId w:val="1"/>
        </w:numPr>
        <w:spacing w:beforeAutospacing="1" w:afterAutospacing="1" w:line="240" w:lineRule="auto"/>
        <w:rPr>
          <w:rFonts w:eastAsia="Arial" w:cs="Arial"/>
          <w:color w:val="000000" w:themeColor="text1"/>
          <w:szCs w:val="21"/>
        </w:rPr>
      </w:pPr>
      <w:r w:rsidRPr="00946F45">
        <w:rPr>
          <w:rFonts w:eastAsia="Arial" w:cs="Arial"/>
          <w:color w:val="000000" w:themeColor="text1"/>
          <w:szCs w:val="21"/>
        </w:rPr>
        <w:t>ari</w:t>
      </w:r>
    </w:p>
    <w:p w14:paraId="60F63CA4" w14:textId="77777777" w:rsidR="519A0F31" w:rsidRPr="00946F45" w:rsidRDefault="002554DB" w:rsidP="00B80D71">
      <w:pPr>
        <w:pStyle w:val="ListParagraph"/>
        <w:numPr>
          <w:ilvl w:val="0"/>
          <w:numId w:val="1"/>
        </w:numPr>
        <w:spacing w:beforeAutospacing="1" w:afterAutospacing="1" w:line="240" w:lineRule="auto"/>
        <w:rPr>
          <w:rFonts w:eastAsia="Arial" w:cs="Arial"/>
          <w:color w:val="000000" w:themeColor="text1"/>
          <w:szCs w:val="21"/>
        </w:rPr>
      </w:pPr>
      <w:r w:rsidRPr="00946F45">
        <w:rPr>
          <w:rFonts w:eastAsia="Arial" w:cs="Arial"/>
          <w:color w:val="000000" w:themeColor="text1"/>
          <w:szCs w:val="21"/>
        </w:rPr>
        <w:t>lugar sa paligid ng puwit at pigi</w:t>
      </w:r>
    </w:p>
    <w:p w14:paraId="618157E9" w14:textId="77777777" w:rsidR="519A0F31" w:rsidRPr="00946F45" w:rsidRDefault="002554DB" w:rsidP="00B80D71">
      <w:pPr>
        <w:pStyle w:val="ListParagraph"/>
        <w:numPr>
          <w:ilvl w:val="0"/>
          <w:numId w:val="1"/>
        </w:numPr>
        <w:spacing w:beforeAutospacing="1" w:afterAutospacing="1" w:line="240" w:lineRule="auto"/>
        <w:rPr>
          <w:rFonts w:eastAsia="Arial" w:cs="Arial"/>
          <w:color w:val="000000" w:themeColor="text1"/>
          <w:szCs w:val="21"/>
        </w:rPr>
      </w:pPr>
      <w:r w:rsidRPr="00946F45">
        <w:rPr>
          <w:rFonts w:eastAsia="Arial" w:cs="Arial"/>
          <w:color w:val="000000" w:themeColor="text1"/>
          <w:szCs w:val="21"/>
        </w:rPr>
        <w:t>sa loob ng bibig</w:t>
      </w:r>
    </w:p>
    <w:p w14:paraId="3A167AE8" w14:textId="77777777" w:rsidR="519A0F31" w:rsidRPr="00946F45" w:rsidRDefault="002554DB" w:rsidP="00B80D71">
      <w:pPr>
        <w:pStyle w:val="ListParagraph"/>
        <w:numPr>
          <w:ilvl w:val="0"/>
          <w:numId w:val="1"/>
        </w:numPr>
        <w:spacing w:beforeAutospacing="1" w:afterAutospacing="1" w:line="240" w:lineRule="auto"/>
        <w:rPr>
          <w:rFonts w:eastAsia="Arial" w:cs="Arial"/>
          <w:color w:val="000000" w:themeColor="text1"/>
          <w:szCs w:val="21"/>
        </w:rPr>
      </w:pPr>
      <w:r w:rsidRPr="00946F45">
        <w:rPr>
          <w:rFonts w:eastAsia="Arial" w:cs="Arial"/>
          <w:color w:val="000000" w:themeColor="text1"/>
          <w:szCs w:val="21"/>
        </w:rPr>
        <w:t>mukha</w:t>
      </w:r>
    </w:p>
    <w:p w14:paraId="0B75FA64" w14:textId="77777777" w:rsidR="519A0F31" w:rsidRPr="00946F45" w:rsidRDefault="002554DB" w:rsidP="00B80D71">
      <w:pPr>
        <w:pStyle w:val="ListParagraph"/>
        <w:numPr>
          <w:ilvl w:val="0"/>
          <w:numId w:val="1"/>
        </w:numPr>
        <w:spacing w:beforeAutospacing="1" w:afterAutospacing="1" w:line="240" w:lineRule="auto"/>
        <w:rPr>
          <w:rFonts w:eastAsia="Arial" w:cs="Arial"/>
          <w:color w:val="000000" w:themeColor="text1"/>
          <w:szCs w:val="21"/>
        </w:rPr>
      </w:pPr>
      <w:r w:rsidRPr="00946F45">
        <w:rPr>
          <w:rFonts w:eastAsia="Arial" w:cs="Arial"/>
          <w:color w:val="000000" w:themeColor="text1"/>
          <w:szCs w:val="21"/>
        </w:rPr>
        <w:t>mga kamay at braso</w:t>
      </w:r>
    </w:p>
    <w:p w14:paraId="48137537" w14:textId="77777777" w:rsidR="519A0F31" w:rsidRPr="00946F45" w:rsidRDefault="002554DB" w:rsidP="00B80D71">
      <w:pPr>
        <w:pStyle w:val="ListParagraph"/>
        <w:numPr>
          <w:ilvl w:val="0"/>
          <w:numId w:val="1"/>
        </w:numPr>
        <w:spacing w:beforeAutospacing="1" w:afterAutospacing="1" w:line="240" w:lineRule="auto"/>
        <w:rPr>
          <w:rFonts w:eastAsia="Arial" w:cs="Arial"/>
          <w:color w:val="000000" w:themeColor="text1"/>
          <w:szCs w:val="21"/>
        </w:rPr>
      </w:pPr>
      <w:r w:rsidRPr="00946F45">
        <w:rPr>
          <w:rFonts w:eastAsia="Arial" w:cs="Arial"/>
          <w:color w:val="000000" w:themeColor="text1"/>
          <w:szCs w:val="21"/>
        </w:rPr>
        <w:t>mga paa at binti.</w:t>
      </w:r>
    </w:p>
    <w:p w14:paraId="2D84A33C" w14:textId="77777777" w:rsidR="0E43994D" w:rsidRPr="00946F45" w:rsidRDefault="002554DB" w:rsidP="0E43994D">
      <w:pPr>
        <w:spacing w:beforeAutospacing="1" w:afterAutospacing="1" w:line="240" w:lineRule="auto"/>
        <w:rPr>
          <w:rFonts w:cs="Arial"/>
          <w:color w:val="000000" w:themeColor="text1"/>
          <w:lang w:eastAsia="en-GB"/>
        </w:rPr>
      </w:pPr>
      <w:r w:rsidRPr="00946F45">
        <w:rPr>
          <w:rFonts w:cs="Arial"/>
          <w:color w:val="000000" w:themeColor="text1"/>
          <w:lang w:eastAsia="en-GB"/>
        </w:rPr>
        <w:t>Ang pantal na kaugnay sa monkeypox ay nagsasangkot ng mga vesicle o butlig na may nana. Ang dami ng mga sugat ay magkakaiba mula sa iilan hanggang sa libu-libo. Ang pantal ay nagbabago at dumadaan sa iba't ibang yugto, tulad ng bulutong-tubig, bago tuluyang maging langib na kusang matatanggal.</w:t>
      </w:r>
    </w:p>
    <w:p w14:paraId="54770FFC" w14:textId="77777777" w:rsidR="008D1729" w:rsidRPr="00946F45" w:rsidRDefault="002554DB" w:rsidP="0E43994D">
      <w:pPr>
        <w:spacing w:before="100" w:beforeAutospacing="1" w:after="100" w:afterAutospacing="1" w:line="240" w:lineRule="auto"/>
        <w:rPr>
          <w:rFonts w:cs="Arial"/>
          <w:color w:val="000000" w:themeColor="text1"/>
          <w:lang w:eastAsia="en-GB"/>
        </w:rPr>
      </w:pPr>
      <w:r w:rsidRPr="00946F45">
        <w:rPr>
          <w:rFonts w:cs="Arial"/>
          <w:color w:val="000000" w:themeColor="text1"/>
          <w:lang w:eastAsia="en-GB"/>
        </w:rPr>
        <w:t>Ang iba pang mga sintomas ng monkeypox na maaaring mangyari bago o kasabay ng pamamantal ay:</w:t>
      </w:r>
    </w:p>
    <w:p w14:paraId="76AD128E" w14:textId="77777777" w:rsidR="008D1729" w:rsidRPr="00946F45" w:rsidRDefault="002554DB" w:rsidP="00B80D71">
      <w:pPr>
        <w:numPr>
          <w:ilvl w:val="0"/>
          <w:numId w:val="9"/>
        </w:numPr>
        <w:spacing w:before="100" w:beforeAutospacing="1" w:after="100" w:afterAutospacing="1" w:line="240" w:lineRule="auto"/>
        <w:rPr>
          <w:rFonts w:cs="Arial"/>
          <w:color w:val="000000" w:themeColor="text1"/>
          <w:szCs w:val="21"/>
          <w:lang w:eastAsia="en-GB"/>
        </w:rPr>
      </w:pPr>
      <w:r w:rsidRPr="00946F45">
        <w:rPr>
          <w:rFonts w:cs="Arial"/>
          <w:color w:val="000000" w:themeColor="text1"/>
          <w:szCs w:val="21"/>
          <w:lang w:eastAsia="en-GB"/>
        </w:rPr>
        <w:t>lagnat</w:t>
      </w:r>
    </w:p>
    <w:p w14:paraId="68ADD3E2" w14:textId="77777777" w:rsidR="008D1729" w:rsidRPr="00946F45" w:rsidRDefault="002554DB" w:rsidP="00B80D71">
      <w:pPr>
        <w:numPr>
          <w:ilvl w:val="0"/>
          <w:numId w:val="9"/>
        </w:numPr>
        <w:spacing w:before="100" w:beforeAutospacing="1" w:after="100" w:afterAutospacing="1" w:line="240" w:lineRule="auto"/>
        <w:rPr>
          <w:rFonts w:cs="Arial"/>
          <w:color w:val="000000" w:themeColor="text1"/>
          <w:szCs w:val="21"/>
          <w:lang w:eastAsia="en-GB"/>
        </w:rPr>
      </w:pPr>
      <w:r w:rsidRPr="00946F45">
        <w:rPr>
          <w:rFonts w:cs="Arial"/>
          <w:color w:val="000000" w:themeColor="text1"/>
          <w:szCs w:val="21"/>
          <w:lang w:eastAsia="en-GB"/>
        </w:rPr>
        <w:t>panginginig</w:t>
      </w:r>
    </w:p>
    <w:p w14:paraId="6FA68082" w14:textId="77777777" w:rsidR="008D1729" w:rsidRPr="00946F45" w:rsidRDefault="002554DB" w:rsidP="00B80D71">
      <w:pPr>
        <w:numPr>
          <w:ilvl w:val="0"/>
          <w:numId w:val="9"/>
        </w:numPr>
        <w:spacing w:before="100" w:beforeAutospacing="1" w:after="100" w:afterAutospacing="1" w:line="240" w:lineRule="auto"/>
        <w:rPr>
          <w:rFonts w:cs="Arial"/>
          <w:color w:val="000000" w:themeColor="text1"/>
          <w:szCs w:val="21"/>
          <w:lang w:eastAsia="en-GB"/>
        </w:rPr>
      </w:pPr>
      <w:r w:rsidRPr="00946F45">
        <w:rPr>
          <w:rFonts w:cs="Arial"/>
          <w:color w:val="000000" w:themeColor="text1"/>
          <w:szCs w:val="21"/>
          <w:lang w:eastAsia="en-GB"/>
        </w:rPr>
        <w:t>pananakit ng kalamnan</w:t>
      </w:r>
    </w:p>
    <w:p w14:paraId="619CDB48" w14:textId="77777777" w:rsidR="008D1729" w:rsidRPr="00946F45" w:rsidRDefault="002554DB" w:rsidP="00B80D71">
      <w:pPr>
        <w:numPr>
          <w:ilvl w:val="0"/>
          <w:numId w:val="9"/>
        </w:numPr>
        <w:spacing w:before="100" w:beforeAutospacing="1" w:after="100" w:afterAutospacing="1" w:line="240" w:lineRule="auto"/>
        <w:rPr>
          <w:rFonts w:cs="Arial"/>
          <w:color w:val="000000" w:themeColor="text1"/>
          <w:szCs w:val="21"/>
          <w:lang w:eastAsia="en-GB"/>
        </w:rPr>
      </w:pPr>
      <w:r w:rsidRPr="00946F45">
        <w:rPr>
          <w:rFonts w:cs="Arial"/>
          <w:color w:val="000000" w:themeColor="text1"/>
          <w:szCs w:val="21"/>
          <w:lang w:eastAsia="en-GB"/>
        </w:rPr>
        <w:t>pananakit ng likod</w:t>
      </w:r>
    </w:p>
    <w:p w14:paraId="59955443" w14:textId="77777777" w:rsidR="008D1729" w:rsidRPr="00946F45" w:rsidRDefault="002554DB" w:rsidP="00B80D71">
      <w:pPr>
        <w:numPr>
          <w:ilvl w:val="0"/>
          <w:numId w:val="9"/>
        </w:numPr>
        <w:spacing w:before="100" w:beforeAutospacing="1" w:after="100" w:afterAutospacing="1" w:line="240" w:lineRule="auto"/>
        <w:rPr>
          <w:rFonts w:cs="Arial"/>
          <w:color w:val="000000" w:themeColor="text1"/>
          <w:szCs w:val="21"/>
          <w:lang w:eastAsia="en-GB"/>
        </w:rPr>
      </w:pPr>
      <w:r w:rsidRPr="00946F45">
        <w:rPr>
          <w:rFonts w:cs="Arial"/>
          <w:color w:val="000000" w:themeColor="text1"/>
          <w:szCs w:val="21"/>
          <w:lang w:eastAsia="en-GB"/>
        </w:rPr>
        <w:t>namamagang mga lymph node</w:t>
      </w:r>
    </w:p>
    <w:p w14:paraId="50CE78E3" w14:textId="77777777" w:rsidR="008D1729" w:rsidRPr="00946F45" w:rsidRDefault="002554DB" w:rsidP="00B80D71">
      <w:pPr>
        <w:numPr>
          <w:ilvl w:val="0"/>
          <w:numId w:val="9"/>
        </w:numPr>
        <w:spacing w:before="100" w:beforeAutospacing="1" w:after="100" w:afterAutospacing="1" w:line="240" w:lineRule="auto"/>
        <w:rPr>
          <w:rFonts w:cs="Arial"/>
          <w:color w:val="000000" w:themeColor="text1"/>
          <w:lang w:eastAsia="en-GB"/>
        </w:rPr>
      </w:pPr>
      <w:r w:rsidRPr="00946F45">
        <w:rPr>
          <w:rFonts w:cs="Arial"/>
          <w:color w:val="000000" w:themeColor="text1"/>
          <w:lang w:eastAsia="en-GB"/>
        </w:rPr>
        <w:t>pagkapagod</w:t>
      </w:r>
    </w:p>
    <w:p w14:paraId="1C00818C" w14:textId="77777777" w:rsidR="363A5A64" w:rsidRPr="00946F45" w:rsidRDefault="002554DB" w:rsidP="00B80D71">
      <w:pPr>
        <w:numPr>
          <w:ilvl w:val="0"/>
          <w:numId w:val="9"/>
        </w:numPr>
        <w:spacing w:beforeAutospacing="1" w:afterAutospacing="1" w:line="240" w:lineRule="auto"/>
        <w:rPr>
          <w:color w:val="000000" w:themeColor="text1"/>
          <w:lang w:eastAsia="en-GB"/>
        </w:rPr>
      </w:pPr>
      <w:r w:rsidRPr="00946F45">
        <w:rPr>
          <w:rFonts w:cs="Arial"/>
          <w:color w:val="000000" w:themeColor="text1"/>
          <w:szCs w:val="21"/>
          <w:lang w:eastAsia="en-GB"/>
        </w:rPr>
        <w:t>pananakit ng puwit at tumbong</w:t>
      </w:r>
    </w:p>
    <w:p w14:paraId="5A768C9C" w14:textId="77777777" w:rsidR="76CA397E" w:rsidRPr="00946F45" w:rsidRDefault="002554DB" w:rsidP="00B80D71">
      <w:pPr>
        <w:numPr>
          <w:ilvl w:val="0"/>
          <w:numId w:val="9"/>
        </w:numPr>
        <w:spacing w:beforeAutospacing="1" w:afterAutospacing="1" w:line="240" w:lineRule="auto"/>
        <w:rPr>
          <w:color w:val="000000" w:themeColor="text1"/>
          <w:lang w:eastAsia="en-GB"/>
        </w:rPr>
      </w:pPr>
      <w:r w:rsidRPr="00946F45">
        <w:rPr>
          <w:rFonts w:cs="Arial"/>
          <w:color w:val="000000" w:themeColor="text1"/>
          <w:szCs w:val="21"/>
          <w:lang w:eastAsia="en-GB"/>
        </w:rPr>
        <w:t>pananakit sa pag-ihi.</w:t>
      </w:r>
    </w:p>
    <w:p w14:paraId="10FD11B8" w14:textId="77777777" w:rsidR="007E4D22" w:rsidRPr="00946F45" w:rsidRDefault="002554DB" w:rsidP="76CA397E">
      <w:pPr>
        <w:spacing w:before="100" w:beforeAutospacing="1" w:after="100" w:afterAutospacing="1" w:line="240" w:lineRule="auto"/>
        <w:rPr>
          <w:rStyle w:val="normaltextrun"/>
          <w:rFonts w:cs="Arial"/>
          <w:color w:val="000000" w:themeColor="text1"/>
          <w:lang w:eastAsia="en-GB"/>
        </w:rPr>
      </w:pPr>
      <w:r w:rsidRPr="00946F45">
        <w:rPr>
          <w:rFonts w:cs="Arial"/>
          <w:color w:val="000000" w:themeColor="text1"/>
          <w:lang w:eastAsia="en-GB"/>
        </w:rPr>
        <w:t>Ang mga sintomas ay kadalasang maglalaho nang kusa sa loob ng ilang linggo.</w:t>
      </w:r>
    </w:p>
    <w:p w14:paraId="579D798A" w14:textId="77777777" w:rsidR="008D1729" w:rsidRPr="00F059F2" w:rsidRDefault="002554DB" w:rsidP="00F059F2">
      <w:pPr>
        <w:pStyle w:val="Heading1"/>
      </w:pPr>
      <w:bookmarkStart w:id="7" w:name="_Toc104371286"/>
      <w:r>
        <w:t>Sino ang nasa panganib</w:t>
      </w:r>
      <w:bookmarkEnd w:id="7"/>
    </w:p>
    <w:p w14:paraId="4F4C77BA" w14:textId="77777777" w:rsidR="349CE291" w:rsidRPr="00946F45" w:rsidRDefault="002554DB" w:rsidP="76CA397E">
      <w:pPr>
        <w:spacing w:beforeAutospacing="1" w:afterAutospacing="1" w:line="240" w:lineRule="auto"/>
        <w:rPr>
          <w:rFonts w:eastAsia="Arial" w:cs="Arial"/>
          <w:color w:val="000000" w:themeColor="text1"/>
          <w:szCs w:val="21"/>
        </w:rPr>
      </w:pPr>
      <w:r w:rsidRPr="00946F45">
        <w:rPr>
          <w:rFonts w:eastAsia="Arial" w:cs="Arial"/>
          <w:color w:val="000000" w:themeColor="text1"/>
          <w:szCs w:val="21"/>
        </w:rPr>
        <w:t>Sinumang malapit na nakadaiti (close contact) nang balat-sa-balat (tulad ng matagal o matalik na pakikipagtalik) sa isang taong may MPX ay maaaring mahawahan.</w:t>
      </w:r>
    </w:p>
    <w:p w14:paraId="4399F72F" w14:textId="77777777" w:rsidR="349CE291" w:rsidRPr="00946F45" w:rsidRDefault="002554DB" w:rsidP="76CA397E">
      <w:pPr>
        <w:spacing w:beforeAutospacing="1" w:afterAutospacing="1" w:line="240" w:lineRule="auto"/>
        <w:rPr>
          <w:rFonts w:eastAsia="Arial" w:cs="Arial"/>
          <w:color w:val="000000" w:themeColor="text1"/>
          <w:szCs w:val="21"/>
        </w:rPr>
      </w:pPr>
      <w:r w:rsidRPr="00946F45">
        <w:rPr>
          <w:rFonts w:eastAsia="Arial" w:cs="Arial"/>
          <w:color w:val="000000" w:themeColor="text1"/>
          <w:szCs w:val="21"/>
        </w:rPr>
        <w:t>Ang mga taong may pinakamataas na panganib ay ang mga lalaking nakikipagtalik sa kapwa lalaki, lalo na ang mga naglalakbay sa mga lugar na may hawahan, mga lalaking may iba't ibang katalik o mga dumadalo sa malalaking pagtitipon o mga lugar-dausan na may pagtatalik sa mismong lugar (sex on premises).</w:t>
      </w:r>
    </w:p>
    <w:p w14:paraId="04AC8D09" w14:textId="77777777" w:rsidR="349CE291" w:rsidRPr="00946F45" w:rsidRDefault="002554DB" w:rsidP="76CA397E">
      <w:pPr>
        <w:pStyle w:val="Body"/>
        <w:rPr>
          <w:rFonts w:cs="Arial"/>
          <w:color w:val="000000" w:themeColor="text1"/>
          <w:lang w:eastAsia="en-GB"/>
        </w:rPr>
      </w:pPr>
      <w:r w:rsidRPr="00946F45">
        <w:rPr>
          <w:rFonts w:eastAsia="Arial" w:cs="Arial"/>
          <w:color w:val="000000" w:themeColor="text1"/>
          <w:szCs w:val="21"/>
        </w:rPr>
        <w:t>Sa ngayon, karamihan sa mga taong may MPX sa Australya ay nahawahan habang nasa ibang bansa ngunit ang lokal na pagkahawahan ay nangyari na.</w:t>
      </w:r>
    </w:p>
    <w:p w14:paraId="6AAB4644" w14:textId="77777777" w:rsidR="00FF03AC" w:rsidRDefault="002554DB" w:rsidP="00FF03AC">
      <w:pPr>
        <w:pStyle w:val="Heading1"/>
      </w:pPr>
      <w:bookmarkStart w:id="8" w:name="_Toc104371287"/>
      <w:r>
        <w:t>Ano ang gagawin kung magkaroon ka ng mga sintomas ng monkeypox</w:t>
      </w:r>
      <w:bookmarkEnd w:id="8"/>
    </w:p>
    <w:p w14:paraId="47B3A127" w14:textId="77777777" w:rsidR="008D1729" w:rsidRPr="00946F45" w:rsidRDefault="002554DB" w:rsidP="0E43994D">
      <w:pPr>
        <w:spacing w:before="100" w:beforeAutospacing="1" w:after="100" w:afterAutospacing="1" w:line="240" w:lineRule="auto"/>
        <w:rPr>
          <w:rFonts w:cs="Arial"/>
          <w:color w:val="000000" w:themeColor="text1"/>
          <w:lang w:eastAsia="en-GB"/>
        </w:rPr>
      </w:pPr>
      <w:r w:rsidRPr="00946F45">
        <w:rPr>
          <w:rFonts w:eastAsia="Arial" w:cs="Arial"/>
          <w:color w:val="000000" w:themeColor="text1"/>
          <w:szCs w:val="21"/>
        </w:rPr>
        <w:t xml:space="preserve">Kung magkaroon ka ng mga sintomas ng MPX dapat kang manatili sa bahay, bawasan ang iyong pakikihalubilo sa iba, at humingi ng pangangalaga ng doktor at magpasuri kaagad. </w:t>
      </w:r>
    </w:p>
    <w:p w14:paraId="513A3813" w14:textId="77777777" w:rsidR="008D1729" w:rsidRPr="00946F45" w:rsidRDefault="002554DB" w:rsidP="62F6D9B4">
      <w:pPr>
        <w:spacing w:before="100" w:beforeAutospacing="1" w:after="100" w:afterAutospacing="1" w:line="240" w:lineRule="auto"/>
        <w:rPr>
          <w:rFonts w:cs="Arial"/>
          <w:color w:val="000000" w:themeColor="text1"/>
          <w:lang w:eastAsia="en-GB"/>
        </w:rPr>
      </w:pPr>
      <w:r w:rsidRPr="00946F45">
        <w:rPr>
          <w:rFonts w:cs="Arial"/>
          <w:color w:val="000000" w:themeColor="text1"/>
          <w:lang w:eastAsia="en-GB"/>
        </w:rPr>
        <w:t>Magsuot ng mask at tawagan ang iyong doktor o pinakamalapit na ospital upang ipaalam sa kanila na papunta ka na. Kung mayroon kang mga pantal o mga paltos, siguraduhing natatakpan ang mga ito.</w:t>
      </w:r>
    </w:p>
    <w:p w14:paraId="418601C0" w14:textId="77777777" w:rsidR="00F059F2" w:rsidRPr="001B3DC5" w:rsidRDefault="002554DB" w:rsidP="00F059F2">
      <w:pPr>
        <w:pStyle w:val="Heading1"/>
        <w:rPr>
          <w:lang w:eastAsia="en-GB"/>
        </w:rPr>
      </w:pPr>
      <w:r w:rsidRPr="001B3DC5">
        <w:rPr>
          <w:lang w:eastAsia="en-GB"/>
        </w:rPr>
        <w:lastRenderedPageBreak/>
        <w:t>Ano ang kailangan mong gawin kung ikaw ay isang kaso</w:t>
      </w:r>
    </w:p>
    <w:p w14:paraId="4CFDFC37" w14:textId="19101C8F" w:rsidR="00F059F2" w:rsidRPr="00946F45" w:rsidRDefault="002554DB" w:rsidP="00F059F2">
      <w:pPr>
        <w:pStyle w:val="Body"/>
        <w:rPr>
          <w:color w:val="000000" w:themeColor="text1"/>
          <w:lang w:eastAsia="en-GB"/>
        </w:rPr>
      </w:pPr>
      <w:r w:rsidRPr="00946F45">
        <w:rPr>
          <w:color w:val="000000" w:themeColor="text1"/>
          <w:lang w:eastAsia="en-GB"/>
        </w:rPr>
        <w:t>Dapat iwasan ng mga taong may MPX ang pakikihalubilo sa iba, lalo na sa mga bata, mga buntis at mga tao na may mahinang naturalesa. Kabilang dito ang pagsasaluhan ng kama at sekswal na aktibidad.</w:t>
      </w:r>
    </w:p>
    <w:p w14:paraId="46C19F2D" w14:textId="77777777" w:rsidR="00F059F2" w:rsidRPr="00946F45" w:rsidRDefault="002554DB" w:rsidP="00F059F2">
      <w:pPr>
        <w:pStyle w:val="Body"/>
        <w:rPr>
          <w:color w:val="000000" w:themeColor="text1"/>
          <w:lang w:eastAsia="en-GB"/>
        </w:rPr>
      </w:pPr>
      <w:r w:rsidRPr="00946F45">
        <w:rPr>
          <w:color w:val="000000" w:themeColor="text1"/>
          <w:lang w:eastAsia="en-GB"/>
        </w:rPr>
        <w:t>Dapat mo ring iwasan ang paghipo (contact) sa mga hayop kabilang ang mga alagang hayop, dahil sa panganib ng pagkalat mula tao-patungo-sa-hayop.</w:t>
      </w:r>
    </w:p>
    <w:p w14:paraId="0D0448FC" w14:textId="77777777" w:rsidR="00F059F2" w:rsidRPr="00946F45" w:rsidRDefault="002554DB" w:rsidP="00F059F2">
      <w:pPr>
        <w:pStyle w:val="Body"/>
        <w:rPr>
          <w:color w:val="000000" w:themeColor="text1"/>
          <w:lang w:eastAsia="en-GB"/>
        </w:rPr>
      </w:pPr>
      <w:r w:rsidRPr="00946F45">
        <w:rPr>
          <w:color w:val="000000" w:themeColor="text1"/>
          <w:lang w:eastAsia="en-GB"/>
        </w:rPr>
        <w:t>Iwasan ang pakikihalubilo sa iba hanggang sa gumaling ang mga sugat sa balat na may bagong suson ng balat na nabubuo sa ilalim. Siguraduhin mo na may follow up na pakikipagtipan sa iyong gumagamot na doktor dahil magbibigay siya ng clearance at karagdagang klinikal na payo kung kinakailangan.</w:t>
      </w:r>
    </w:p>
    <w:p w14:paraId="78709188" w14:textId="77777777" w:rsidR="00F059F2" w:rsidRPr="00946F45" w:rsidRDefault="002554DB" w:rsidP="00F059F2">
      <w:pPr>
        <w:pStyle w:val="Body"/>
        <w:rPr>
          <w:color w:val="000000" w:themeColor="text1"/>
          <w:lang w:eastAsia="en-GB"/>
        </w:rPr>
      </w:pPr>
      <w:r w:rsidRPr="00946F45">
        <w:rPr>
          <w:color w:val="000000" w:themeColor="text1"/>
          <w:lang w:eastAsia="en-GB"/>
        </w:rPr>
        <w:t>Ang opisyal ng Department of Health o Local Public Health Unit ay regular na makikipag-ugnayan sa iyo upang kumustahin ang iyong kalagayan.</w:t>
      </w:r>
    </w:p>
    <w:p w14:paraId="118C1222" w14:textId="79E89342" w:rsidR="00F059F2" w:rsidRPr="001B3DC5" w:rsidRDefault="002554DB" w:rsidP="00F059F2">
      <w:pPr>
        <w:pStyle w:val="Heading1"/>
      </w:pPr>
      <w:r w:rsidRPr="001B3DC5">
        <w:t xml:space="preserve">Ano ang kailangan mong gawin kung ikaw ay isang </w:t>
      </w:r>
      <w:r w:rsidR="00A044A0">
        <w:br/>
      </w:r>
      <w:r w:rsidRPr="001B3DC5">
        <w:t>high-risk contact</w:t>
      </w:r>
    </w:p>
    <w:p w14:paraId="45A0626A" w14:textId="77777777" w:rsidR="00F059F2" w:rsidRPr="00946F45" w:rsidRDefault="002554DB" w:rsidP="00F059F2">
      <w:pPr>
        <w:pStyle w:val="Body"/>
        <w:rPr>
          <w:color w:val="000000" w:themeColor="text1"/>
        </w:rPr>
      </w:pPr>
      <w:r w:rsidRPr="00946F45">
        <w:rPr>
          <w:color w:val="000000" w:themeColor="text1"/>
        </w:rPr>
        <w:t>Kung ikaw ay natukoy bilang high-risk contact, ito ay nangangahulugan na nagkaroon ka ng close contact sa isang taong may MPX habang siya ay nakakahawa, na naglalagay sa iyo sa panganib na magkasakit.</w:t>
      </w:r>
    </w:p>
    <w:p w14:paraId="34EC61F6" w14:textId="77777777" w:rsidR="00F059F2" w:rsidRPr="00946F45" w:rsidRDefault="002554DB" w:rsidP="00F059F2">
      <w:pPr>
        <w:pStyle w:val="Body"/>
        <w:rPr>
          <w:color w:val="000000" w:themeColor="text1"/>
        </w:rPr>
      </w:pPr>
      <w:r w:rsidRPr="00946F45">
        <w:rPr>
          <w:color w:val="000000" w:themeColor="text1"/>
        </w:rPr>
        <w:t>Ang mga Local Public Health Units (LPHUs) ay nakikipag-ugnay sa mga high-risk contact para payuhan sila tungkol sa pangangailangang subaybayan ang mga sintomas at sundin ang mga pag-iingat. Kailangan mong subaybayan ang mga sintomas sa loob ng 21 araw pagkatapos malantad. Sa ilang mga pagkakataon, maaari kang aluking magpabakuna kasunod ng pagkakalantad upang mabawasan ang iyong panganib ng MPX.</w:t>
      </w:r>
    </w:p>
    <w:p w14:paraId="6B76F1F5" w14:textId="77777777" w:rsidR="00F059F2" w:rsidRPr="00946F45" w:rsidRDefault="002554DB" w:rsidP="00F059F2">
      <w:pPr>
        <w:pStyle w:val="Body"/>
        <w:rPr>
          <w:color w:val="000000" w:themeColor="text1"/>
        </w:rPr>
      </w:pPr>
      <w:r w:rsidRPr="00946F45">
        <w:rPr>
          <w:color w:val="000000" w:themeColor="text1"/>
        </w:rPr>
        <w:t>Ang isang opisyal ng pampublikong kalusugan mula sa LPHU ay regular na makikipag-ugnayan sa iyo sa panahong ito upang suriin kung ano ang iyong kalagayan at upang malaman kung mayroon kang anumang mga sintomas.</w:t>
      </w:r>
    </w:p>
    <w:p w14:paraId="4D2D2ACE" w14:textId="77777777" w:rsidR="00F059F2" w:rsidRPr="00946F45" w:rsidRDefault="002554DB" w:rsidP="00F059F2">
      <w:pPr>
        <w:pStyle w:val="Body"/>
        <w:rPr>
          <w:color w:val="000000" w:themeColor="text1"/>
        </w:rPr>
      </w:pPr>
      <w:r w:rsidRPr="00946F45">
        <w:rPr>
          <w:color w:val="000000" w:themeColor="text1"/>
        </w:rPr>
        <w:t>Bilang karagdagan, sa loob ng 21 araw pagkatapos malantad, dapat mong:</w:t>
      </w:r>
    </w:p>
    <w:p w14:paraId="58D002C4" w14:textId="77777777" w:rsidR="00F059F2" w:rsidRPr="00946F45" w:rsidRDefault="002554DB" w:rsidP="00F059F2">
      <w:pPr>
        <w:pStyle w:val="Bullet1"/>
        <w:rPr>
          <w:color w:val="000000" w:themeColor="text1"/>
        </w:rPr>
      </w:pPr>
      <w:r w:rsidRPr="00946F45">
        <w:rPr>
          <w:color w:val="000000" w:themeColor="text1"/>
        </w:rPr>
        <w:t>Iwasan ang malapit na pakikihalubilo sa iba, lalo na sa mga may mas mataas na panganib na magkaroon ng malubhang sakit tulad ng mga bata, mga buntis, at mga taong may mahinang naturalesa</w:t>
      </w:r>
    </w:p>
    <w:p w14:paraId="3F07028D" w14:textId="77777777" w:rsidR="00F059F2" w:rsidRPr="00946F45" w:rsidRDefault="002554DB" w:rsidP="00F059F2">
      <w:pPr>
        <w:pStyle w:val="Bullet1"/>
        <w:rPr>
          <w:color w:val="000000" w:themeColor="text1"/>
        </w:rPr>
      </w:pPr>
      <w:r w:rsidRPr="00946F45">
        <w:rPr>
          <w:color w:val="000000" w:themeColor="text1"/>
        </w:rPr>
        <w:t xml:space="preserve">Huwag bumisita sa mga lugar may mataas na panganib tulad sa mga childcare, mga pasilidad ng pangangalaga sa matatanda, at mga pasilidad ng pangangalagang pangkalusugan maliban kung nangangailangan ng paggamot </w:t>
      </w:r>
    </w:p>
    <w:p w14:paraId="0AF9C3E7" w14:textId="77777777" w:rsidR="00F059F2" w:rsidRPr="00946F45" w:rsidRDefault="002554DB" w:rsidP="00F059F2">
      <w:pPr>
        <w:pStyle w:val="Bullet1"/>
        <w:rPr>
          <w:color w:val="000000" w:themeColor="text1"/>
        </w:rPr>
      </w:pPr>
      <w:r w:rsidRPr="00946F45">
        <w:rPr>
          <w:color w:val="000000" w:themeColor="text1"/>
        </w:rPr>
        <w:t>Magtrabaho mula sa bahay kung maaari (magbibigay ng payo ang mga LPHU sa bawat kaso ng mga manggagawang kailangang pumasok sa trabaho sa mga lugar gaya sa mga pasilidad ng childcare, pangangalaga sa matatanda, at pangangalagang pangkalusugan)</w:t>
      </w:r>
    </w:p>
    <w:p w14:paraId="2ADD1EE1" w14:textId="15A5DDD4" w:rsidR="00F059F2" w:rsidRPr="00946F45" w:rsidRDefault="002554DB" w:rsidP="00F059F2">
      <w:pPr>
        <w:pStyle w:val="Bullet1"/>
        <w:rPr>
          <w:color w:val="000000" w:themeColor="text1"/>
        </w:rPr>
      </w:pPr>
      <w:r w:rsidRPr="00946F45">
        <w:rPr>
          <w:color w:val="000000" w:themeColor="text1"/>
        </w:rPr>
        <w:t>Iwasan ang sekswal na aktibidad</w:t>
      </w:r>
    </w:p>
    <w:p w14:paraId="7FF66CC9" w14:textId="77777777" w:rsidR="00F059F2" w:rsidRPr="00946F45" w:rsidRDefault="002554DB" w:rsidP="00F059F2">
      <w:pPr>
        <w:pStyle w:val="Bullet1"/>
        <w:rPr>
          <w:color w:val="000000" w:themeColor="text1"/>
        </w:rPr>
      </w:pPr>
      <w:r w:rsidRPr="00946F45">
        <w:rPr>
          <w:color w:val="000000" w:themeColor="text1"/>
        </w:rPr>
        <w:t>Iwasan ang contact sa mga hayop, lalo na sa mga aso at rodent (tulad ng mga bubuwit, daga, hamster, gerbil, guinea pig, at squirrel)</w:t>
      </w:r>
    </w:p>
    <w:p w14:paraId="2BB84D10" w14:textId="7E1FBBBD" w:rsidR="00F059F2" w:rsidRPr="00946F45" w:rsidRDefault="002554DB" w:rsidP="00F059F2">
      <w:pPr>
        <w:pStyle w:val="Bullet1"/>
        <w:rPr>
          <w:color w:val="000000" w:themeColor="text1"/>
        </w:rPr>
      </w:pPr>
      <w:r w:rsidRPr="00946F45">
        <w:rPr>
          <w:color w:val="000000" w:themeColor="text1"/>
        </w:rPr>
        <w:t>Panatilihin sa lahat ng oras ang layong 1.5 metro mula sa iba kahit na sa tahanan</w:t>
      </w:r>
    </w:p>
    <w:p w14:paraId="587123F8" w14:textId="77777777" w:rsidR="00F059F2" w:rsidRPr="00946F45" w:rsidRDefault="002554DB" w:rsidP="00F059F2">
      <w:pPr>
        <w:pStyle w:val="Bullet1"/>
        <w:rPr>
          <w:color w:val="000000" w:themeColor="text1"/>
        </w:rPr>
      </w:pPr>
      <w:r w:rsidRPr="00946F45">
        <w:rPr>
          <w:color w:val="000000" w:themeColor="text1"/>
        </w:rPr>
        <w:t>Magsuot ng surgical mask kapag nasa iisang silid kasama ng ibang tao at kapag nasa labas ng bahay</w:t>
      </w:r>
    </w:p>
    <w:p w14:paraId="077DD40A" w14:textId="22724AA2" w:rsidR="00F059F2" w:rsidRPr="00946F45" w:rsidRDefault="002554DB" w:rsidP="00F059F2">
      <w:pPr>
        <w:pStyle w:val="Bullet1"/>
        <w:rPr>
          <w:color w:val="000000" w:themeColor="text1"/>
        </w:rPr>
      </w:pPr>
      <w:r w:rsidRPr="00946F45">
        <w:rPr>
          <w:color w:val="000000" w:themeColor="text1"/>
        </w:rPr>
        <w:t>Huwag mag-donate ng dugo, mga selyula, tisyu, gatas ng ina, semilya, o mga organo</w:t>
      </w:r>
      <w:r w:rsidR="00EF1F1A" w:rsidRPr="00946F45">
        <w:rPr>
          <w:color w:val="000000" w:themeColor="text1"/>
        </w:rPr>
        <w:t>.</w:t>
      </w:r>
    </w:p>
    <w:p w14:paraId="013C292D" w14:textId="77777777" w:rsidR="002D7D39" w:rsidRPr="001B3DC5" w:rsidRDefault="002554DB" w:rsidP="002D7D39">
      <w:pPr>
        <w:pStyle w:val="Heading1"/>
      </w:pPr>
      <w:bookmarkStart w:id="9" w:name="_Toc104371288"/>
      <w:r w:rsidRPr="001B3DC5">
        <w:lastRenderedPageBreak/>
        <w:t>Paano maiiwasan ang monkeypox</w:t>
      </w:r>
      <w:bookmarkEnd w:id="9"/>
    </w:p>
    <w:p w14:paraId="7C0456E5" w14:textId="77777777" w:rsidR="0042486E" w:rsidRPr="00946F45" w:rsidRDefault="002554DB" w:rsidP="76CA397E">
      <w:pPr>
        <w:spacing w:before="100" w:beforeAutospacing="1" w:after="100" w:afterAutospacing="1" w:line="240" w:lineRule="auto"/>
        <w:rPr>
          <w:rFonts w:cs="Arial"/>
          <w:color w:val="000000" w:themeColor="text1"/>
          <w:lang w:eastAsia="en-GB"/>
        </w:rPr>
      </w:pPr>
      <w:r w:rsidRPr="00946F45">
        <w:rPr>
          <w:rFonts w:cs="Arial"/>
          <w:color w:val="000000" w:themeColor="text1"/>
          <w:lang w:eastAsia="en-GB"/>
        </w:rPr>
        <w:t>Iwasan ang malapit na kontak sa mga taong may pinaghihinalaan o nakumpirmang monkeypox. Kabilang dito ang contact sa anumang posibleng nakontaminadong materyal, tulad ng mga kobre-kama at tuwalya, na ginamit ng isang nahawahang tao. Ang palagiang pagsunod sa mga hakbang sa kalinisan kabilang ang paghuhugas ng kamay gamit ang sabon at tubig o hand sanitiser na gawa sa alkohol ay mahalaga.</w:t>
      </w:r>
    </w:p>
    <w:p w14:paraId="4D868E32" w14:textId="29B4CB26" w:rsidR="76CA397E" w:rsidRPr="00946F45" w:rsidRDefault="002554DB" w:rsidP="00F059F2">
      <w:pPr>
        <w:pStyle w:val="Body"/>
        <w:spacing w:before="100" w:beforeAutospacing="1" w:afterAutospacing="1" w:line="240" w:lineRule="auto"/>
        <w:rPr>
          <w:rFonts w:eastAsia="Arial" w:cs="Arial"/>
          <w:color w:val="000000" w:themeColor="text1"/>
          <w:szCs w:val="21"/>
        </w:rPr>
      </w:pPr>
      <w:r w:rsidRPr="00946F45">
        <w:rPr>
          <w:rFonts w:eastAsia="Arial" w:cs="Arial"/>
          <w:color w:val="000000" w:themeColor="text1"/>
          <w:szCs w:val="21"/>
        </w:rPr>
        <w:t>Maiiwasan din ang MPX sa pamamagitan ng pagbawas sa bilang ng iyong mga katalik at pagtiyak na mayroon kang mga detalye sa pakikipag-ugnayan, hanggang sa ganap ka nang mabakunahan. Mapoprotektahan din ng pagbabakuna ang mga tao laban sa MPX.</w:t>
      </w:r>
    </w:p>
    <w:p w14:paraId="3E09F50C" w14:textId="77777777" w:rsidR="76CA397E" w:rsidRPr="001B3DC5" w:rsidRDefault="002554DB" w:rsidP="00F059F2">
      <w:pPr>
        <w:pStyle w:val="Heading1"/>
        <w:spacing w:beforeAutospacing="1" w:afterAutospacing="1" w:line="240" w:lineRule="auto"/>
        <w:rPr>
          <w:rFonts w:eastAsia="Times New Roman" w:cs="Times New Roman"/>
          <w:strike/>
          <w:color w:val="222222"/>
          <w:sz w:val="21"/>
          <w:szCs w:val="21"/>
          <w:lang w:eastAsia="en-GB"/>
        </w:rPr>
      </w:pPr>
      <w:bookmarkStart w:id="10" w:name="_Toc104371289"/>
      <w:r w:rsidRPr="001B3DC5">
        <w:t>Paggamot ng monkeypox</w:t>
      </w:r>
      <w:bookmarkEnd w:id="10"/>
    </w:p>
    <w:p w14:paraId="1F0AA1E1" w14:textId="77777777" w:rsidR="0042486E" w:rsidRPr="00946F45" w:rsidRDefault="002554DB" w:rsidP="0042486E">
      <w:pPr>
        <w:spacing w:before="100" w:beforeAutospacing="1" w:after="100" w:afterAutospacing="1" w:line="240" w:lineRule="auto"/>
        <w:rPr>
          <w:rFonts w:cs="Arial"/>
          <w:color w:val="000000" w:themeColor="text1"/>
          <w:szCs w:val="21"/>
          <w:lang w:eastAsia="en-GB"/>
        </w:rPr>
      </w:pPr>
      <w:r w:rsidRPr="00946F45">
        <w:rPr>
          <w:rFonts w:cs="Arial"/>
          <w:color w:val="000000" w:themeColor="text1"/>
          <w:szCs w:val="21"/>
          <w:lang w:eastAsia="en-GB"/>
        </w:rPr>
        <w:t>Ang paggamot ng monkeypox ay karaniwang pagsuporta lamang. Ang sakit ay kadalasang banayad lang at ang paggaling ay karaniwang tumatagal ng ilang linggo.</w:t>
      </w:r>
    </w:p>
    <w:p w14:paraId="75F10A61" w14:textId="77777777" w:rsidR="00ED035E" w:rsidRPr="001B3DC5" w:rsidRDefault="002554DB" w:rsidP="00ED035E">
      <w:pPr>
        <w:pStyle w:val="Heading1"/>
      </w:pPr>
      <w:bookmarkStart w:id="11" w:name="_Toc104371290"/>
      <w:r w:rsidRPr="001B3DC5">
        <w:t>Pagbabakuna laban sa monkeypox</w:t>
      </w:r>
      <w:bookmarkEnd w:id="11"/>
    </w:p>
    <w:p w14:paraId="61733F87" w14:textId="77777777" w:rsidR="00946F45" w:rsidRPr="00946F45" w:rsidRDefault="002554DB" w:rsidP="00946F45">
      <w:pPr>
        <w:rPr>
          <w:rStyle w:val="contentpasted0"/>
          <w:rFonts w:eastAsia="MS Gothic"/>
          <w:color w:val="000000" w:themeColor="text1"/>
        </w:rPr>
      </w:pPr>
      <w:r w:rsidRPr="00946F45">
        <w:rPr>
          <w:rStyle w:val="contentpasted0"/>
          <w:rFonts w:eastAsia="MS Gothic"/>
          <w:color w:val="000000" w:themeColor="text1"/>
        </w:rPr>
        <w:t>Sa Victoria, ang bakuna laban sa MPX (JYNNEOS® vaccine) ay makukuha nang walang bayad ng mga partikular na grupong inuuna, sa mga piling serbisyong pangkalusugan, sa mga klinika sa kalusugang sekswal at sa pamamagitan ng mga lokal na yunit ng pampublikong kalusugan. Makipag-ugnayan sa iyong GP, sa klinika sa kalusugang sekswal o sa lokal na yunit ng pampublikong kalusugan upang talakayin kung ang bakuna sa MPX ay angkop para sa iyo, at kung mayroong babayaran mula sa sariling bulsa.</w:t>
      </w:r>
    </w:p>
    <w:p w14:paraId="3B281CAE" w14:textId="7A426D97" w:rsidR="00AD6239" w:rsidRDefault="002554DB" w:rsidP="00946F45">
      <w:pPr>
        <w:rPr>
          <w:rStyle w:val="contentpasted0"/>
          <w:rFonts w:ascii="Calibri" w:eastAsia="MS Gothic" w:hAnsi="Calibri"/>
          <w:sz w:val="22"/>
        </w:rPr>
      </w:pPr>
      <w:r w:rsidRPr="001B3DC5">
        <w:rPr>
          <w:rStyle w:val="contentpasted0"/>
          <w:rFonts w:eastAsia="MS Gothic"/>
        </w:rPr>
        <w:t xml:space="preserve">Kung natugunan mo ang </w:t>
      </w:r>
      <w:hyperlink r:id="rId15" w:anchor="vaccination" w:history="1">
        <w:r w:rsidRPr="001B3DC5">
          <w:rPr>
            <w:rStyle w:val="Hyperlink"/>
            <w:rFonts w:eastAsia="MS Gothic"/>
          </w:rPr>
          <w:t>mga pamantayan sa pagiging marapat</w:t>
        </w:r>
      </w:hyperlink>
      <w:r w:rsidRPr="001B3DC5">
        <w:rPr>
          <w:rStyle w:val="contentpasted0"/>
          <w:rFonts w:eastAsia="MS Gothic"/>
        </w:rPr>
        <w:t xml:space="preserve"> at gusto mong maabisuhan tungkol sa mga tipanan sa hinaharap, irehistro ang iyong mga detalye sa </w:t>
      </w:r>
      <w:hyperlink r:id="rId16" w:history="1">
        <w:r w:rsidRPr="001B3DC5">
          <w:rPr>
            <w:rStyle w:val="Hyperlink"/>
            <w:rFonts w:eastAsia="MS Gothic"/>
          </w:rPr>
          <w:t>online form</w:t>
        </w:r>
      </w:hyperlink>
      <w:r w:rsidRPr="001B3DC5">
        <w:rPr>
          <w:rStyle w:val="contentpasted0"/>
          <w:rFonts w:eastAsia="MS Gothic"/>
        </w:rPr>
        <w:t>. </w:t>
      </w:r>
    </w:p>
    <w:p w14:paraId="0CE1195A" w14:textId="77777777" w:rsidR="0042486E" w:rsidRDefault="002554DB" w:rsidP="0042486E">
      <w:pPr>
        <w:pStyle w:val="Heading1"/>
      </w:pPr>
      <w:bookmarkStart w:id="12" w:name="_Toc104371291"/>
      <w:r>
        <w:t>Saan kukuha ng tulong</w:t>
      </w:r>
      <w:bookmarkStart w:id="13" w:name="_GoBack"/>
      <w:bookmarkEnd w:id="12"/>
      <w:bookmarkEnd w:id="13"/>
    </w:p>
    <w:p w14:paraId="329658E1" w14:textId="77777777" w:rsidR="0042486E" w:rsidRPr="00946F45" w:rsidRDefault="002554DB" w:rsidP="00B80D71">
      <w:pPr>
        <w:numPr>
          <w:ilvl w:val="0"/>
          <w:numId w:val="10"/>
        </w:numPr>
        <w:spacing w:before="100" w:beforeAutospacing="1" w:after="100" w:afterAutospacing="1" w:line="240" w:lineRule="auto"/>
        <w:rPr>
          <w:rFonts w:cs="Arial"/>
          <w:color w:val="000000" w:themeColor="text1"/>
          <w:szCs w:val="21"/>
          <w:lang w:eastAsia="en-GB"/>
        </w:rPr>
      </w:pPr>
      <w:r w:rsidRPr="00946F45">
        <w:rPr>
          <w:rFonts w:cs="Arial"/>
          <w:color w:val="000000" w:themeColor="text1"/>
          <w:szCs w:val="21"/>
          <w:lang w:eastAsia="en-GB"/>
        </w:rPr>
        <w:t>Palaging tumawag ng ambulansya sa oras ng emerhensya (triple zero) Tel. 000</w:t>
      </w:r>
    </w:p>
    <w:p w14:paraId="4CDC78A5" w14:textId="77777777" w:rsidR="0042486E" w:rsidRPr="00946F45" w:rsidRDefault="002554DB" w:rsidP="00B80D71">
      <w:pPr>
        <w:numPr>
          <w:ilvl w:val="0"/>
          <w:numId w:val="10"/>
        </w:numPr>
        <w:spacing w:before="100" w:beforeAutospacing="1" w:after="100" w:afterAutospacing="1" w:line="240" w:lineRule="auto"/>
        <w:rPr>
          <w:rFonts w:cs="Arial"/>
          <w:color w:val="000000" w:themeColor="text1"/>
          <w:szCs w:val="21"/>
          <w:lang w:eastAsia="en-GB"/>
        </w:rPr>
      </w:pPr>
      <w:r w:rsidRPr="00946F45">
        <w:rPr>
          <w:rFonts w:cs="Arial"/>
          <w:color w:val="000000" w:themeColor="text1"/>
          <w:szCs w:val="21"/>
          <w:lang w:eastAsia="en-GB"/>
        </w:rPr>
        <w:t>Departamento ng emerhensya ng inyong pinakamalapit na ospital</w:t>
      </w:r>
    </w:p>
    <w:p w14:paraId="410D21AA" w14:textId="77777777" w:rsidR="0042486E" w:rsidRPr="00946F45" w:rsidRDefault="002554DB" w:rsidP="00B80D71">
      <w:pPr>
        <w:numPr>
          <w:ilvl w:val="0"/>
          <w:numId w:val="10"/>
        </w:numPr>
        <w:spacing w:before="100" w:beforeAutospacing="1" w:after="100" w:afterAutospacing="1" w:line="240" w:lineRule="auto"/>
        <w:rPr>
          <w:rFonts w:cs="Arial"/>
          <w:color w:val="000000" w:themeColor="text1"/>
          <w:szCs w:val="21"/>
          <w:lang w:eastAsia="en-GB"/>
        </w:rPr>
      </w:pPr>
      <w:r w:rsidRPr="00946F45">
        <w:rPr>
          <w:rFonts w:cs="Arial"/>
          <w:color w:val="000000" w:themeColor="text1"/>
          <w:szCs w:val="21"/>
          <w:lang w:eastAsia="en-GB"/>
        </w:rPr>
        <w:t>Iyong </w:t>
      </w:r>
      <w:hyperlink r:id="rId17" w:history="1">
        <w:r w:rsidRPr="00946F45">
          <w:rPr>
            <w:rFonts w:cs="Arial"/>
            <w:color w:val="000000" w:themeColor="text1"/>
            <w:szCs w:val="21"/>
            <w:u w:val="single"/>
            <w:lang w:eastAsia="en-GB"/>
          </w:rPr>
          <w:t>GP (doktor)</w:t>
        </w:r>
      </w:hyperlink>
    </w:p>
    <w:p w14:paraId="2FD15ACA" w14:textId="77777777" w:rsidR="0042486E" w:rsidRPr="00946F45" w:rsidRDefault="003627FE" w:rsidP="00B80D71">
      <w:pPr>
        <w:numPr>
          <w:ilvl w:val="0"/>
          <w:numId w:val="10"/>
        </w:numPr>
        <w:spacing w:before="100" w:beforeAutospacing="1" w:after="100" w:afterAutospacing="1" w:line="240" w:lineRule="auto"/>
        <w:rPr>
          <w:rFonts w:cs="Arial"/>
          <w:color w:val="000000" w:themeColor="text1"/>
          <w:lang w:eastAsia="en-GB"/>
        </w:rPr>
      </w:pPr>
      <w:hyperlink r:id="rId18" w:history="1">
        <w:r w:rsidR="002554DB" w:rsidRPr="00946F45">
          <w:rPr>
            <w:rFonts w:cs="Arial"/>
            <w:color w:val="000000" w:themeColor="text1"/>
            <w:u w:val="single"/>
            <w:lang w:eastAsia="en-GB"/>
          </w:rPr>
          <w:t>NURSE-ON-CALL</w:t>
        </w:r>
      </w:hyperlink>
      <w:r w:rsidR="002554DB" w:rsidRPr="00946F45">
        <w:rPr>
          <w:rFonts w:cs="Arial"/>
          <w:color w:val="000000" w:themeColor="text1"/>
          <w:lang w:eastAsia="en-GB"/>
        </w:rPr>
        <w:t> Tel. </w:t>
      </w:r>
      <w:hyperlink r:id="rId19" w:history="1">
        <w:r w:rsidR="002554DB" w:rsidRPr="00946F45">
          <w:rPr>
            <w:rFonts w:cs="Arial"/>
            <w:color w:val="000000" w:themeColor="text1"/>
            <w:u w:val="single"/>
            <w:lang w:eastAsia="en-GB"/>
          </w:rPr>
          <w:t>1300 60 60 24</w:t>
        </w:r>
      </w:hyperlink>
      <w:r w:rsidR="002554DB" w:rsidRPr="00946F45">
        <w:rPr>
          <w:rFonts w:cs="Arial"/>
          <w:color w:val="000000" w:themeColor="text1"/>
          <w:lang w:eastAsia="en-GB"/>
        </w:rPr>
        <w:t> – para sa kumpidensyal na payo sa kalusugan mula sa isang rehistradong nars, 24 oras sa isang araw, 7 araw sa isang linggo</w:t>
      </w:r>
    </w:p>
    <w:p w14:paraId="0D94BDAB" w14:textId="77777777" w:rsidR="3E2FA79A" w:rsidRPr="00946F45" w:rsidRDefault="002554DB" w:rsidP="00B80D71">
      <w:pPr>
        <w:numPr>
          <w:ilvl w:val="0"/>
          <w:numId w:val="10"/>
        </w:numPr>
        <w:spacing w:beforeAutospacing="1" w:afterAutospacing="1" w:line="240" w:lineRule="auto"/>
        <w:rPr>
          <w:rFonts w:eastAsia="Arial" w:cs="Arial"/>
          <w:color w:val="000000" w:themeColor="text1"/>
          <w:szCs w:val="21"/>
        </w:rPr>
      </w:pPr>
      <w:r w:rsidRPr="00946F45">
        <w:rPr>
          <w:rFonts w:eastAsia="Arial" w:cs="Arial"/>
          <w:color w:val="000000" w:themeColor="text1"/>
          <w:szCs w:val="21"/>
        </w:rPr>
        <w:t>Melbourne Sexual Health Center Tel. (03) 9341 6200 o 1800 032 017 o TTY (para sa may kapansanan sa pandinig) (03) 9347 8619</w:t>
      </w:r>
    </w:p>
    <w:p w14:paraId="1E3D0B23" w14:textId="77777777" w:rsidR="3E2FA79A" w:rsidRPr="00946F45" w:rsidRDefault="002554DB" w:rsidP="00B80D71">
      <w:pPr>
        <w:pStyle w:val="ListParagraph"/>
        <w:numPr>
          <w:ilvl w:val="0"/>
          <w:numId w:val="10"/>
        </w:numPr>
        <w:spacing w:beforeAutospacing="1" w:afterAutospacing="1" w:line="240" w:lineRule="auto"/>
        <w:rPr>
          <w:rFonts w:eastAsia="Arial" w:cs="Arial"/>
          <w:color w:val="000000" w:themeColor="text1"/>
          <w:szCs w:val="21"/>
        </w:rPr>
      </w:pPr>
      <w:r w:rsidRPr="00946F45">
        <w:rPr>
          <w:rFonts w:eastAsia="Arial" w:cs="Arial"/>
          <w:color w:val="000000" w:themeColor="text1"/>
          <w:szCs w:val="21"/>
        </w:rPr>
        <w:t>Thorne Harbour Health Tel. (03) 9865 6700 o 1800 134 840</w:t>
      </w:r>
    </w:p>
    <w:p w14:paraId="26E0F22B" w14:textId="77777777" w:rsidR="3E2FA79A" w:rsidRPr="001B3DC5" w:rsidRDefault="002554DB" w:rsidP="00B80D71">
      <w:pPr>
        <w:pStyle w:val="ListParagraph"/>
        <w:numPr>
          <w:ilvl w:val="0"/>
          <w:numId w:val="10"/>
        </w:numPr>
        <w:spacing w:beforeAutospacing="1" w:afterAutospacing="1" w:line="240" w:lineRule="auto"/>
        <w:rPr>
          <w:rFonts w:eastAsia="Arial" w:cs="Arial"/>
          <w:color w:val="000000" w:themeColor="text1"/>
          <w:szCs w:val="21"/>
        </w:rPr>
      </w:pPr>
      <w:r w:rsidRPr="00946F45">
        <w:rPr>
          <w:rFonts w:eastAsia="Arial" w:cs="Arial"/>
          <w:color w:val="000000" w:themeColor="text1"/>
          <w:szCs w:val="21"/>
        </w:rPr>
        <w:t>Ang mga serbisyo sa pagpapayo at suporta ay makukuha sa pamamagitan ng iyong GP o serbisyong pangkalusugan. Para sa karagdagang impormasyon</w:t>
      </w:r>
      <w:r w:rsidRPr="001B3DC5">
        <w:rPr>
          <w:rFonts w:eastAsia="Arial" w:cs="Arial"/>
          <w:color w:val="000000" w:themeColor="text1"/>
          <w:szCs w:val="21"/>
        </w:rPr>
        <w:t xml:space="preserve">: </w:t>
      </w:r>
      <w:hyperlink r:id="rId20" w:history="1">
        <w:r w:rsidR="00B80D71" w:rsidRPr="001B3DC5">
          <w:rPr>
            <w:rStyle w:val="Hyperlink"/>
            <w:rFonts w:eastAsia="Arial" w:cs="Arial"/>
            <w:szCs w:val="21"/>
          </w:rPr>
          <w:t>https://www.betterhealth.vic.gov.au/mental-health-and-wellbeing-hubs</w:t>
        </w:r>
      </w:hyperlink>
    </w:p>
    <w:p w14:paraId="1EB714CB" w14:textId="77777777" w:rsidR="0E43994D" w:rsidRDefault="0E43994D" w:rsidP="76CA397E">
      <w:pPr>
        <w:spacing w:beforeAutospacing="1" w:afterAutospacing="1" w:line="240" w:lineRule="auto"/>
        <w:rPr>
          <w:szCs w:val="21"/>
          <w:lang w:eastAsia="en-GB"/>
        </w:rPr>
      </w:pPr>
    </w:p>
    <w:p w14:paraId="70A579EC" w14:textId="77777777" w:rsidR="00640E79" w:rsidRPr="00ED035E" w:rsidRDefault="00640E79" w:rsidP="00ED035E">
      <w:pPr>
        <w:pStyle w:val="paragraph"/>
        <w:shd w:val="clear" w:color="auto" w:fill="FFFFFF"/>
        <w:spacing w:before="0" w:beforeAutospacing="0" w:after="0" w:afterAutospacing="0"/>
        <w:textAlignment w:val="baseline"/>
        <w:rPr>
          <w:rFonts w:ascii="Arial" w:hAnsi="Arial" w:cs="Arial"/>
          <w:sz w:val="21"/>
          <w:szCs w:val="21"/>
        </w:rPr>
      </w:pPr>
    </w:p>
    <w:tbl>
      <w:tblPr>
        <w:tblStyle w:val="TableGrid"/>
        <w:tblW w:w="0" w:type="auto"/>
        <w:tblCellMar>
          <w:bottom w:w="108" w:type="dxa"/>
        </w:tblCellMar>
        <w:tblLook w:val="0600" w:firstRow="0" w:lastRow="0" w:firstColumn="0" w:lastColumn="0" w:noHBand="1" w:noVBand="1"/>
      </w:tblPr>
      <w:tblGrid>
        <w:gridCol w:w="10194"/>
      </w:tblGrid>
      <w:tr w:rsidR="00CF3258" w14:paraId="1A3D8106" w14:textId="77777777" w:rsidTr="76CA397E">
        <w:tc>
          <w:tcPr>
            <w:tcW w:w="10194" w:type="dxa"/>
          </w:tcPr>
          <w:p w14:paraId="17434C32" w14:textId="77777777" w:rsidR="0055119B" w:rsidRPr="0055119B" w:rsidRDefault="002554DB" w:rsidP="00E33237">
            <w:pPr>
              <w:pStyle w:val="Imprint"/>
            </w:pPr>
            <w:bookmarkStart w:id="14" w:name="_Hlk37240926"/>
            <w:r w:rsidRPr="0055119B">
              <w:t>Authorised and published by the Victorian Government, 1 Treasury Place, Melbourne.</w:t>
            </w:r>
          </w:p>
          <w:p w14:paraId="0BCEDE94" w14:textId="77777777" w:rsidR="0055119B" w:rsidRDefault="002554DB" w:rsidP="00E33237">
            <w:pPr>
              <w:pStyle w:val="Imprint"/>
            </w:pPr>
            <w:r>
              <w:t>© State of Victoria, Australia, Department of Health, October 2022.</w:t>
            </w:r>
          </w:p>
        </w:tc>
      </w:tr>
    </w:tbl>
    <w:bookmarkEnd w:id="14"/>
    <w:p w14:paraId="448B91EE" w14:textId="77777777" w:rsidR="00162CA9" w:rsidRDefault="002554DB" w:rsidP="00162CA9">
      <w:pPr>
        <w:pStyle w:val="Body"/>
      </w:pPr>
      <w:r>
        <w:t xml:space="preserve"> </w:t>
      </w:r>
    </w:p>
    <w:sectPr w:rsidR="00162CA9" w:rsidSect="00E62622">
      <w:footerReference w:type="default" r:id="rId21"/>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F40A7" w14:textId="77777777" w:rsidR="003627FE" w:rsidRDefault="003627FE">
      <w:pPr>
        <w:spacing w:after="0" w:line="240" w:lineRule="auto"/>
      </w:pPr>
      <w:r>
        <w:separator/>
      </w:r>
    </w:p>
  </w:endnote>
  <w:endnote w:type="continuationSeparator" w:id="0">
    <w:p w14:paraId="43F55582" w14:textId="77777777" w:rsidR="003627FE" w:rsidRDefault="00362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 w:name="MS Mincho">
    <w:altName w:val="ＭＳ 明朝"/>
    <w:panose1 w:val="02020609040205080304"/>
    <w:charset w:val="80"/>
    <w:family w:val="roman"/>
    <w:pitch w:val="fixed"/>
    <w:sig w:usb0="00000001" w:usb1="08070000" w:usb2="00000010" w:usb3="00000000" w:csb0="00020000" w:csb1="00000000"/>
  </w:font>
  <w:font w:name="Times">
    <w:panose1 w:val="020B0500000000000000"/>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5002EFF" w:usb1="C000E47F" w:usb2="00000029" w:usb3="00000000" w:csb0="000001FF" w:csb1="00000000"/>
  </w:font>
  <w:font w:name="Arial Black">
    <w:panose1 w:val="020B0A04020102020204"/>
    <w:charset w:val="00"/>
    <w:family w:val="swiss"/>
    <w:pitch w:val="variable"/>
    <w:sig w:usb0="A00002AF" w:usb1="400078FB" w:usb2="00000000" w:usb3="00000000" w:csb0="0000009F" w:csb1="00000000"/>
    <w:embedRegular r:id="rId1" w:subsetted="1" w:fontKey="{3A49A808-7649-4CC2-945B-97621AE5875D}"/>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1A466" w14:textId="77777777" w:rsidR="00E261B3" w:rsidRPr="00F65AA9" w:rsidRDefault="002554DB" w:rsidP="00F84FA0">
    <w:pPr>
      <w:pStyle w:val="Footer"/>
    </w:pPr>
    <w:r>
      <w:rPr>
        <w:noProof/>
        <w:lang w:val="en-US" w:eastAsia="zh-CN"/>
      </w:rPr>
      <w:drawing>
        <wp:anchor distT="0" distB="0" distL="114300" distR="114300" simplePos="0" relativeHeight="251662336" behindDoc="1" locked="1" layoutInCell="1" allowOverlap="1" wp14:anchorId="3541C7F7" wp14:editId="37A11324">
          <wp:simplePos x="0" y="0"/>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8547626"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zh-CN"/>
      </w:rPr>
      <mc:AlternateContent>
        <mc:Choice Requires="wps">
          <w:drawing>
            <wp:anchor distT="0" distB="0" distL="114300" distR="114300" simplePos="0" relativeHeight="251658240" behindDoc="0" locked="0" layoutInCell="0" allowOverlap="1" wp14:anchorId="39681FB3" wp14:editId="6A94E4C6">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C11B3D" w14:textId="77777777" w:rsidR="00E261B3" w:rsidRPr="00B21F90" w:rsidRDefault="002554DB"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MSIPCMc3054336811d08b680b9289e" o:spid="_x0000_s2049" type="#_x0000_t202" alt="{&quot;HashCode&quot;:904758361,&quot;Height&quot;:841.0,&quot;Width&quot;:595.0,&quot;Placement&quot;:&quot;Footer&quot;,&quot;Index&quot;:&quot;Primary&quot;,&quot;Section&quot;:1,&quot;Top&quot;:0.0,&quot;Left&quot;:0.0}" style="width:595.3pt;height:24.55pt;margin-top:802.3pt;margin-left:0;mso-position-horizontal-relative:page;mso-position-vertical-relative:page;mso-wrap-distance-bottom:0;mso-wrap-distance-left:9pt;mso-wrap-distance-right:9pt;mso-wrap-distance-top:0;mso-wrap-style:square;position:absolute;v-text-anchor:bottom;visibility:visible;z-index:251659264" o:allowincell="f" filled="f" stroked="f" strokeweight="0.5pt">
              <v:textbox inset=",0,,0">
                <w:txbxContent>
                  <w:p w:rsidR="00E261B3" w:rsidRPr="00B21F90" w:rsidP="00B21F90" w14:paraId="07537487"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1F33A" w14:textId="77777777" w:rsidR="00E261B3" w:rsidRDefault="002554DB">
    <w:pPr>
      <w:pStyle w:val="Footer"/>
    </w:pPr>
    <w:r>
      <w:rPr>
        <w:noProof/>
        <w:lang w:val="en-US" w:eastAsia="zh-CN"/>
      </w:rPr>
      <mc:AlternateContent>
        <mc:Choice Requires="wps">
          <w:drawing>
            <wp:anchor distT="0" distB="0" distL="114300" distR="114300" simplePos="0" relativeHeight="251660288" behindDoc="0" locked="0" layoutInCell="0" allowOverlap="1" wp14:anchorId="6D197C75" wp14:editId="05C8905D">
              <wp:simplePos x="0" y="0"/>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A1DDD1" w14:textId="77777777" w:rsidR="00E261B3" w:rsidRPr="00B21F90" w:rsidRDefault="002554DB"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MSIPCM418f4cbe97f099549309dca7" o:spid="_x0000_s2050" type="#_x0000_t202" alt="{&quot;HashCode&quot;:904758361,&quot;Height&quot;:841.0,&quot;Width&quot;:595.0,&quot;Placement&quot;:&quot;Footer&quot;,&quot;Index&quot;:&quot;FirstPage&quot;,&quot;Section&quot;:1,&quot;Top&quot;:0.0,&quot;Left&quot;:0.0}" style="width:595.3pt;height:24.55pt;margin-top:802.3pt;margin-left:0;mso-position-horizontal-relative:page;mso-position-vertical-relative:page;mso-wrap-distance-bottom:0;mso-wrap-distance-left:9pt;mso-wrap-distance-right:9pt;mso-wrap-distance-top:0;mso-wrap-style:square;position:absolute;v-text-anchor:bottom;visibility:visible;z-index:251661312" o:allowincell="f" filled="f" stroked="f" strokeweight="0.5pt">
              <v:textbox inset=",0,,0">
                <w:txbxContent>
                  <w:p w:rsidR="00E261B3" w:rsidRPr="00B21F90" w:rsidP="00B21F90" w14:paraId="43785FC6"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E5575" w14:textId="77777777" w:rsidR="00373890" w:rsidRPr="00F65AA9" w:rsidRDefault="002554DB" w:rsidP="00F84FA0">
    <w:pPr>
      <w:pStyle w:val="Footer"/>
    </w:pPr>
    <w:r>
      <w:rPr>
        <w:noProof/>
        <w:lang w:val="en-US" w:eastAsia="zh-CN"/>
      </w:rPr>
      <mc:AlternateContent>
        <mc:Choice Requires="wps">
          <w:drawing>
            <wp:anchor distT="0" distB="0" distL="114300" distR="114300" simplePos="0" relativeHeight="251665408" behindDoc="0" locked="0" layoutInCell="0" allowOverlap="1" wp14:anchorId="7A56FD00" wp14:editId="7634D232">
              <wp:simplePos x="0" y="0"/>
              <wp:positionH relativeFrom="page">
                <wp:posOffset>0</wp:posOffset>
              </wp:positionH>
              <wp:positionV relativeFrom="page">
                <wp:posOffset>10189210</wp:posOffset>
              </wp:positionV>
              <wp:extent cx="7560310" cy="311785"/>
              <wp:effectExtent l="0" t="0" r="0" b="12065"/>
              <wp:wrapNone/>
              <wp:docPr id="3" name="MSIPCM8fec4f84bfd034c9548f789a"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70DE98" w14:textId="77777777" w:rsidR="00B4078D" w:rsidRPr="00B4078D" w:rsidRDefault="002554DB" w:rsidP="00B4078D">
                          <w:pPr>
                            <w:spacing w:after="0"/>
                            <w:jc w:val="center"/>
                            <w:rPr>
                              <w:rFonts w:ascii="Arial Black" w:hAnsi="Arial Black"/>
                              <w:color w:val="000000"/>
                              <w:sz w:val="20"/>
                            </w:rPr>
                          </w:pPr>
                          <w:r w:rsidRPr="00B4078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MSIPCM8fec4f84bfd034c9548f789a" o:spid="_x0000_s2051" type="#_x0000_t202" alt="{&quot;HashCode&quot;:904758361,&quot;Height&quot;:841.0,&quot;Width&quot;:595.0,&quot;Placement&quot;:&quot;Footer&quot;,&quot;Index&quot;:&quot;Primary&quot;,&quot;Section&quot;:2,&quot;Top&quot;:0.0,&quot;Left&quot;:0.0}" style="width:595.3pt;height:24.55pt;margin-top:802.3pt;margin-left:0;mso-position-horizontal-relative:page;mso-position-vertical-relative:page;mso-wrap-distance-bottom:0;mso-wrap-distance-left:9pt;mso-wrap-distance-right:9pt;mso-wrap-distance-top:0;mso-wrap-style:square;position:absolute;v-text-anchor:bottom;visibility:visible;z-index:251666432" o:allowincell="f" filled="f" stroked="f" strokeweight="0.5pt">
              <v:textbox inset=",0,,0">
                <w:txbxContent>
                  <w:p w:rsidR="00B4078D" w:rsidRPr="00B4078D" w:rsidP="00B4078D" w14:paraId="3456D1E7" w14:textId="6ECD03BC">
                    <w:pPr>
                      <w:spacing w:after="0"/>
                      <w:jc w:val="center"/>
                      <w:rPr>
                        <w:rFonts w:ascii="Arial Black" w:hAnsi="Arial Black"/>
                        <w:color w:val="000000"/>
                        <w:sz w:val="20"/>
                      </w:rPr>
                    </w:pPr>
                    <w:r w:rsidRPr="00B4078D">
                      <w:rPr>
                        <w:rFonts w:ascii="Arial Black" w:hAnsi="Arial Black"/>
                        <w:color w:val="000000"/>
                        <w:sz w:val="20"/>
                      </w:rPr>
                      <w:t>OFFICIAL</w:t>
                    </w:r>
                  </w:p>
                </w:txbxContent>
              </v:textbox>
            </v:shape>
          </w:pict>
        </mc:Fallback>
      </mc:AlternateContent>
    </w:r>
    <w:r w:rsidR="00B07FF7">
      <w:rPr>
        <w:noProof/>
        <w:lang w:val="en-US" w:eastAsia="zh-CN"/>
      </w:rPr>
      <mc:AlternateContent>
        <mc:Choice Requires="wps">
          <w:drawing>
            <wp:anchor distT="0" distB="0" distL="114300" distR="114300" simplePos="0" relativeHeight="251663360" behindDoc="0" locked="0" layoutInCell="0" allowOverlap="1" wp14:anchorId="6370C944" wp14:editId="78E60E57">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ED0FDA" w14:textId="77777777" w:rsidR="00B07FF7" w:rsidRPr="00B07FF7" w:rsidRDefault="002554DB"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MSIPCMf473436da8889006ed5648e0" o:spid="_x0000_s2052" type="#_x0000_t202" alt="{&quot;HashCode&quot;:904758361,&quot;Height&quot;:841.0,&quot;Width&quot;:595.0,&quot;Placement&quot;:&quot;Footer&quot;,&quot;Index&quot;:&quot;Primary&quot;,&quot;Section&quot;:3,&quot;Top&quot;:0.0,&quot;Left&quot;:0.0}" style="width:595.3pt;height:24.55pt;margin-top:802.3pt;margin-left:0;mso-position-horizontal-relative:page;mso-position-vertical-relative:page;mso-wrap-distance-bottom:0;mso-wrap-distance-left:9pt;mso-wrap-distance-right:9pt;mso-wrap-distance-top:0;mso-wrap-style:square;position:absolute;v-text-anchor:bottom;visibility:visible;z-index:251664384" o:allowincell="f" filled="f" stroked="f" strokeweight="0.5pt">
              <v:textbox inset=",0,,0">
                <w:txbxContent>
                  <w:p w:rsidR="00B07FF7" w:rsidRPr="00B07FF7" w:rsidP="00B07FF7" w14:paraId="7F234036" w14:textId="77777777">
                    <w:pPr>
                      <w:spacing w:after="0"/>
                      <w:jc w:val="center"/>
                      <w:rPr>
                        <w:rFonts w:ascii="Arial Black" w:hAnsi="Arial Black"/>
                        <w:color w:val="000000"/>
                        <w:sz w:val="20"/>
                      </w:rPr>
                    </w:pPr>
                    <w:r w:rsidRPr="00B07FF7">
                      <w:rPr>
                        <w:rFonts w:ascii="Arial Black" w:hAnsi="Arial Black"/>
                        <w:color w:val="000000"/>
                        <w:sz w:val="20"/>
                      </w:rPr>
                      <w:t>OFFICIAL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DA048" w14:textId="77777777" w:rsidR="003627FE" w:rsidRDefault="003627FE">
      <w:pPr>
        <w:spacing w:after="0" w:line="240" w:lineRule="auto"/>
      </w:pPr>
      <w:r>
        <w:separator/>
      </w:r>
    </w:p>
  </w:footnote>
  <w:footnote w:type="continuationSeparator" w:id="0">
    <w:p w14:paraId="08FB90A0" w14:textId="77777777" w:rsidR="003627FE" w:rsidRDefault="00362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ADFE2"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5ECB5010"/>
    <w:multiLevelType w:val="multilevel"/>
    <w:tmpl w:val="914CBEF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672CDBB4"/>
    <w:multiLevelType w:val="hybridMultilevel"/>
    <w:tmpl w:val="E2F44C72"/>
    <w:lvl w:ilvl="0" w:tplc="8C169224">
      <w:start w:val="1"/>
      <w:numFmt w:val="bullet"/>
      <w:lvlText w:val=""/>
      <w:lvlJc w:val="left"/>
      <w:pPr>
        <w:ind w:left="720" w:hanging="360"/>
      </w:pPr>
      <w:rPr>
        <w:rFonts w:ascii="Symbol" w:hAnsi="Symbol" w:hint="default"/>
      </w:rPr>
    </w:lvl>
    <w:lvl w:ilvl="1" w:tplc="E3D4D1D4">
      <w:start w:val="1"/>
      <w:numFmt w:val="bullet"/>
      <w:lvlText w:val="o"/>
      <w:lvlJc w:val="left"/>
      <w:pPr>
        <w:ind w:left="1440" w:hanging="360"/>
      </w:pPr>
      <w:rPr>
        <w:rFonts w:ascii="Courier New" w:hAnsi="Courier New" w:hint="default"/>
      </w:rPr>
    </w:lvl>
    <w:lvl w:ilvl="2" w:tplc="579A49A4">
      <w:start w:val="1"/>
      <w:numFmt w:val="bullet"/>
      <w:lvlText w:val=""/>
      <w:lvlJc w:val="left"/>
      <w:pPr>
        <w:ind w:left="2160" w:hanging="360"/>
      </w:pPr>
      <w:rPr>
        <w:rFonts w:ascii="Wingdings" w:hAnsi="Wingdings" w:hint="default"/>
      </w:rPr>
    </w:lvl>
    <w:lvl w:ilvl="3" w:tplc="9378FA7A">
      <w:start w:val="1"/>
      <w:numFmt w:val="bullet"/>
      <w:lvlText w:val=""/>
      <w:lvlJc w:val="left"/>
      <w:pPr>
        <w:ind w:left="2880" w:hanging="360"/>
      </w:pPr>
      <w:rPr>
        <w:rFonts w:ascii="Symbol" w:hAnsi="Symbol" w:hint="default"/>
      </w:rPr>
    </w:lvl>
    <w:lvl w:ilvl="4" w:tplc="B23049A0">
      <w:start w:val="1"/>
      <w:numFmt w:val="bullet"/>
      <w:lvlText w:val="o"/>
      <w:lvlJc w:val="left"/>
      <w:pPr>
        <w:ind w:left="3600" w:hanging="360"/>
      </w:pPr>
      <w:rPr>
        <w:rFonts w:ascii="Courier New" w:hAnsi="Courier New" w:hint="default"/>
      </w:rPr>
    </w:lvl>
    <w:lvl w:ilvl="5" w:tplc="14D0F59C">
      <w:start w:val="1"/>
      <w:numFmt w:val="bullet"/>
      <w:lvlText w:val=""/>
      <w:lvlJc w:val="left"/>
      <w:pPr>
        <w:ind w:left="4320" w:hanging="360"/>
      </w:pPr>
      <w:rPr>
        <w:rFonts w:ascii="Wingdings" w:hAnsi="Wingdings" w:hint="default"/>
      </w:rPr>
    </w:lvl>
    <w:lvl w:ilvl="6" w:tplc="02280A38">
      <w:start w:val="1"/>
      <w:numFmt w:val="bullet"/>
      <w:lvlText w:val=""/>
      <w:lvlJc w:val="left"/>
      <w:pPr>
        <w:ind w:left="5040" w:hanging="360"/>
      </w:pPr>
      <w:rPr>
        <w:rFonts w:ascii="Symbol" w:hAnsi="Symbol" w:hint="default"/>
      </w:rPr>
    </w:lvl>
    <w:lvl w:ilvl="7" w:tplc="885007D8">
      <w:start w:val="1"/>
      <w:numFmt w:val="bullet"/>
      <w:lvlText w:val="o"/>
      <w:lvlJc w:val="left"/>
      <w:pPr>
        <w:ind w:left="5760" w:hanging="360"/>
      </w:pPr>
      <w:rPr>
        <w:rFonts w:ascii="Courier New" w:hAnsi="Courier New" w:hint="default"/>
      </w:rPr>
    </w:lvl>
    <w:lvl w:ilvl="8" w:tplc="55121428">
      <w:start w:val="1"/>
      <w:numFmt w:val="bullet"/>
      <w:lvlText w:val=""/>
      <w:lvlJc w:val="left"/>
      <w:pPr>
        <w:ind w:left="6480" w:hanging="360"/>
      </w:pPr>
      <w:rPr>
        <w:rFonts w:ascii="Wingdings" w:hAnsi="Wingdings" w:hint="default"/>
      </w:rPr>
    </w:lvl>
  </w:abstractNum>
  <w:abstractNum w:abstractNumId="8" w15:restartNumberingAfterBreak="0">
    <w:nsid w:val="6CEB5446"/>
    <w:multiLevelType w:val="multilevel"/>
    <w:tmpl w:val="99B4161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47217F"/>
    <w:multiLevelType w:val="multilevel"/>
    <w:tmpl w:val="9572C28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
  </w:num>
  <w:num w:numId="3">
    <w:abstractNumId w:val="4"/>
  </w:num>
  <w:num w:numId="4">
    <w:abstractNumId w:val="3"/>
  </w:num>
  <w:num w:numId="5">
    <w:abstractNumId w:val="6"/>
  </w:num>
  <w:num w:numId="6">
    <w:abstractNumId w:val="2"/>
  </w:num>
  <w:num w:numId="7">
    <w:abstractNumId w:val="0"/>
  </w:num>
  <w:num w:numId="8">
    <w:abstractNumId w:val="5"/>
  </w:num>
  <w:num w:numId="9">
    <w:abstractNumId w:val="9"/>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TrueTypeFonts/>
  <w:saveSubsetFonts/>
  <w:proofState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283"/>
  <w:drawingGridHorizontalSpacing w:val="181"/>
  <w:drawingGridVerticalSpacing w:val="181"/>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0C3"/>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A4D"/>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1C9D"/>
    <w:rsid w:val="000E3CC7"/>
    <w:rsid w:val="000E511D"/>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3E41"/>
    <w:rsid w:val="00165459"/>
    <w:rsid w:val="00165A57"/>
    <w:rsid w:val="001712C2"/>
    <w:rsid w:val="00172BAF"/>
    <w:rsid w:val="001771DD"/>
    <w:rsid w:val="0017731E"/>
    <w:rsid w:val="00177995"/>
    <w:rsid w:val="00177A8C"/>
    <w:rsid w:val="00186B33"/>
    <w:rsid w:val="00192F9D"/>
    <w:rsid w:val="00196EB8"/>
    <w:rsid w:val="00196EFB"/>
    <w:rsid w:val="001979FF"/>
    <w:rsid w:val="00197B17"/>
    <w:rsid w:val="001A1950"/>
    <w:rsid w:val="001A1C54"/>
    <w:rsid w:val="001A3ACE"/>
    <w:rsid w:val="001B058F"/>
    <w:rsid w:val="001B3DC5"/>
    <w:rsid w:val="001B42CE"/>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554DB"/>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D7D39"/>
    <w:rsid w:val="002E01D0"/>
    <w:rsid w:val="002E048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1A9A"/>
    <w:rsid w:val="00322E4B"/>
    <w:rsid w:val="00327870"/>
    <w:rsid w:val="0033259D"/>
    <w:rsid w:val="003333D2"/>
    <w:rsid w:val="003406C6"/>
    <w:rsid w:val="003418CC"/>
    <w:rsid w:val="00341EBE"/>
    <w:rsid w:val="003459BD"/>
    <w:rsid w:val="00350D38"/>
    <w:rsid w:val="00351B36"/>
    <w:rsid w:val="00356314"/>
    <w:rsid w:val="00357B4E"/>
    <w:rsid w:val="003627FE"/>
    <w:rsid w:val="00363E24"/>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02"/>
    <w:rsid w:val="003D3E8F"/>
    <w:rsid w:val="003D6475"/>
    <w:rsid w:val="003E375C"/>
    <w:rsid w:val="003E4086"/>
    <w:rsid w:val="003E639E"/>
    <w:rsid w:val="003E71E5"/>
    <w:rsid w:val="003F0445"/>
    <w:rsid w:val="003F0CF0"/>
    <w:rsid w:val="003F14B1"/>
    <w:rsid w:val="003F2B20"/>
    <w:rsid w:val="003F30C3"/>
    <w:rsid w:val="003F3289"/>
    <w:rsid w:val="003F589D"/>
    <w:rsid w:val="003F5CB9"/>
    <w:rsid w:val="004013C7"/>
    <w:rsid w:val="00401FCF"/>
    <w:rsid w:val="0040248F"/>
    <w:rsid w:val="00402916"/>
    <w:rsid w:val="00406285"/>
    <w:rsid w:val="004112C6"/>
    <w:rsid w:val="004148F9"/>
    <w:rsid w:val="00414D4A"/>
    <w:rsid w:val="0042084E"/>
    <w:rsid w:val="00421EEF"/>
    <w:rsid w:val="00423C3F"/>
    <w:rsid w:val="0042486E"/>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8519C"/>
    <w:rsid w:val="00490746"/>
    <w:rsid w:val="00490852"/>
    <w:rsid w:val="00491C9C"/>
    <w:rsid w:val="00492F30"/>
    <w:rsid w:val="004946F4"/>
    <w:rsid w:val="0049487E"/>
    <w:rsid w:val="004A160D"/>
    <w:rsid w:val="004A3E81"/>
    <w:rsid w:val="004A4195"/>
    <w:rsid w:val="004A5C62"/>
    <w:rsid w:val="004A5CE5"/>
    <w:rsid w:val="004A707D"/>
    <w:rsid w:val="004C00A5"/>
    <w:rsid w:val="004C3E02"/>
    <w:rsid w:val="004C5541"/>
    <w:rsid w:val="004C6EEE"/>
    <w:rsid w:val="004C702B"/>
    <w:rsid w:val="004C7ABD"/>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09E6"/>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21A1"/>
    <w:rsid w:val="00592BB8"/>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E6362"/>
    <w:rsid w:val="005E68B8"/>
    <w:rsid w:val="005F0775"/>
    <w:rsid w:val="005F0CF5"/>
    <w:rsid w:val="005F21EB"/>
    <w:rsid w:val="005F44C0"/>
    <w:rsid w:val="00605908"/>
    <w:rsid w:val="00610D7C"/>
    <w:rsid w:val="00613414"/>
    <w:rsid w:val="00615FF3"/>
    <w:rsid w:val="00620154"/>
    <w:rsid w:val="0062408D"/>
    <w:rsid w:val="006240CC"/>
    <w:rsid w:val="00624940"/>
    <w:rsid w:val="006254F8"/>
    <w:rsid w:val="00627DA7"/>
    <w:rsid w:val="00630DA4"/>
    <w:rsid w:val="00632597"/>
    <w:rsid w:val="006358B4"/>
    <w:rsid w:val="00640E79"/>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6A83"/>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4FC5"/>
    <w:rsid w:val="007055BD"/>
    <w:rsid w:val="007173CA"/>
    <w:rsid w:val="007216AA"/>
    <w:rsid w:val="00721AB5"/>
    <w:rsid w:val="00721CFB"/>
    <w:rsid w:val="00721DEF"/>
    <w:rsid w:val="0072251A"/>
    <w:rsid w:val="00724A43"/>
    <w:rsid w:val="007273AC"/>
    <w:rsid w:val="00731AD4"/>
    <w:rsid w:val="007346E4"/>
    <w:rsid w:val="00734FCA"/>
    <w:rsid w:val="0073550D"/>
    <w:rsid w:val="0073582E"/>
    <w:rsid w:val="00740F22"/>
    <w:rsid w:val="00741CF0"/>
    <w:rsid w:val="00741F1A"/>
    <w:rsid w:val="007447DA"/>
    <w:rsid w:val="007450F8"/>
    <w:rsid w:val="0074696E"/>
    <w:rsid w:val="00750135"/>
    <w:rsid w:val="00750EC2"/>
    <w:rsid w:val="00752B28"/>
    <w:rsid w:val="007536C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521E"/>
    <w:rsid w:val="00796E20"/>
    <w:rsid w:val="00797C32"/>
    <w:rsid w:val="007A11E8"/>
    <w:rsid w:val="007B0914"/>
    <w:rsid w:val="007B1374"/>
    <w:rsid w:val="007B32E5"/>
    <w:rsid w:val="007B3DB9"/>
    <w:rsid w:val="007B589F"/>
    <w:rsid w:val="007B6186"/>
    <w:rsid w:val="007B73BC"/>
    <w:rsid w:val="007C028A"/>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E4D22"/>
    <w:rsid w:val="007F31B6"/>
    <w:rsid w:val="007F546C"/>
    <w:rsid w:val="007F5DD5"/>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1729"/>
    <w:rsid w:val="008D2846"/>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4D8"/>
    <w:rsid w:val="009315BE"/>
    <w:rsid w:val="0093338F"/>
    <w:rsid w:val="00937BD9"/>
    <w:rsid w:val="00946F45"/>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B73D3"/>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620"/>
    <w:rsid w:val="009F6BCB"/>
    <w:rsid w:val="009F7B78"/>
    <w:rsid w:val="00A0057A"/>
    <w:rsid w:val="00A02FA1"/>
    <w:rsid w:val="00A044A0"/>
    <w:rsid w:val="00A04CCE"/>
    <w:rsid w:val="00A07421"/>
    <w:rsid w:val="00A0776B"/>
    <w:rsid w:val="00A10FB9"/>
    <w:rsid w:val="00A11421"/>
    <w:rsid w:val="00A1389F"/>
    <w:rsid w:val="00A157B1"/>
    <w:rsid w:val="00A22229"/>
    <w:rsid w:val="00A24442"/>
    <w:rsid w:val="00A330BB"/>
    <w:rsid w:val="00A43CFE"/>
    <w:rsid w:val="00A44882"/>
    <w:rsid w:val="00A45125"/>
    <w:rsid w:val="00A54715"/>
    <w:rsid w:val="00A6061C"/>
    <w:rsid w:val="00A62D44"/>
    <w:rsid w:val="00A65694"/>
    <w:rsid w:val="00A67263"/>
    <w:rsid w:val="00A7161C"/>
    <w:rsid w:val="00A77AA3"/>
    <w:rsid w:val="00A8236D"/>
    <w:rsid w:val="00A854EB"/>
    <w:rsid w:val="00A872E5"/>
    <w:rsid w:val="00A91406"/>
    <w:rsid w:val="00A96E65"/>
    <w:rsid w:val="00A97C72"/>
    <w:rsid w:val="00AA268E"/>
    <w:rsid w:val="00AA310B"/>
    <w:rsid w:val="00AA3E09"/>
    <w:rsid w:val="00AA63D4"/>
    <w:rsid w:val="00AB06E8"/>
    <w:rsid w:val="00AB1CD3"/>
    <w:rsid w:val="00AB352F"/>
    <w:rsid w:val="00AC274B"/>
    <w:rsid w:val="00AC4764"/>
    <w:rsid w:val="00AC6D36"/>
    <w:rsid w:val="00AC74B5"/>
    <w:rsid w:val="00AD0CBA"/>
    <w:rsid w:val="00AD177A"/>
    <w:rsid w:val="00AD26E2"/>
    <w:rsid w:val="00AD6239"/>
    <w:rsid w:val="00AD784C"/>
    <w:rsid w:val="00AE126A"/>
    <w:rsid w:val="00AE1BAE"/>
    <w:rsid w:val="00AE3005"/>
    <w:rsid w:val="00AE3BD5"/>
    <w:rsid w:val="00AE59A0"/>
    <w:rsid w:val="00AF0C57"/>
    <w:rsid w:val="00AF26F3"/>
    <w:rsid w:val="00AF4941"/>
    <w:rsid w:val="00AF5F04"/>
    <w:rsid w:val="00B00672"/>
    <w:rsid w:val="00B01B4D"/>
    <w:rsid w:val="00B06571"/>
    <w:rsid w:val="00B068BA"/>
    <w:rsid w:val="00B07FF7"/>
    <w:rsid w:val="00B125B0"/>
    <w:rsid w:val="00B13851"/>
    <w:rsid w:val="00B13B1C"/>
    <w:rsid w:val="00B14780"/>
    <w:rsid w:val="00B21F90"/>
    <w:rsid w:val="00B22291"/>
    <w:rsid w:val="00B23F9A"/>
    <w:rsid w:val="00B2417B"/>
    <w:rsid w:val="00B24E6F"/>
    <w:rsid w:val="00B26CB5"/>
    <w:rsid w:val="00B2752E"/>
    <w:rsid w:val="00B307CC"/>
    <w:rsid w:val="00B326B7"/>
    <w:rsid w:val="00B3588E"/>
    <w:rsid w:val="00B4078D"/>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80D71"/>
    <w:rsid w:val="00B90729"/>
    <w:rsid w:val="00B907DA"/>
    <w:rsid w:val="00B94CD5"/>
    <w:rsid w:val="00B950BC"/>
    <w:rsid w:val="00B953E1"/>
    <w:rsid w:val="00B9714C"/>
    <w:rsid w:val="00BA29AD"/>
    <w:rsid w:val="00BA33CF"/>
    <w:rsid w:val="00BA3F8D"/>
    <w:rsid w:val="00BB7A10"/>
    <w:rsid w:val="00BC3E8F"/>
    <w:rsid w:val="00BC50C9"/>
    <w:rsid w:val="00BC60BE"/>
    <w:rsid w:val="00BC7468"/>
    <w:rsid w:val="00BC7D4F"/>
    <w:rsid w:val="00BC7ED7"/>
    <w:rsid w:val="00BD2850"/>
    <w:rsid w:val="00BD5A36"/>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51F0A"/>
    <w:rsid w:val="00C602FF"/>
    <w:rsid w:val="00C60D7C"/>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C61F3"/>
    <w:rsid w:val="00CD3476"/>
    <w:rsid w:val="00CD64DF"/>
    <w:rsid w:val="00CE225F"/>
    <w:rsid w:val="00CE5A05"/>
    <w:rsid w:val="00CF2F50"/>
    <w:rsid w:val="00CF3258"/>
    <w:rsid w:val="00CF6198"/>
    <w:rsid w:val="00D02919"/>
    <w:rsid w:val="00D04C61"/>
    <w:rsid w:val="00D05B8D"/>
    <w:rsid w:val="00D065A2"/>
    <w:rsid w:val="00D079AA"/>
    <w:rsid w:val="00D07F00"/>
    <w:rsid w:val="00D1130F"/>
    <w:rsid w:val="00D17B72"/>
    <w:rsid w:val="00D3185C"/>
    <w:rsid w:val="00D3205F"/>
    <w:rsid w:val="00D3318E"/>
    <w:rsid w:val="00D33CBE"/>
    <w:rsid w:val="00D33E72"/>
    <w:rsid w:val="00D35BD6"/>
    <w:rsid w:val="00D361B5"/>
    <w:rsid w:val="00D405AC"/>
    <w:rsid w:val="00D411A2"/>
    <w:rsid w:val="00D424F4"/>
    <w:rsid w:val="00D4606D"/>
    <w:rsid w:val="00D46C92"/>
    <w:rsid w:val="00D50B9C"/>
    <w:rsid w:val="00D52D73"/>
    <w:rsid w:val="00D52E58"/>
    <w:rsid w:val="00D55EE4"/>
    <w:rsid w:val="00D56B20"/>
    <w:rsid w:val="00D578B3"/>
    <w:rsid w:val="00D618F4"/>
    <w:rsid w:val="00D714CC"/>
    <w:rsid w:val="00D75EA7"/>
    <w:rsid w:val="00D81ADF"/>
    <w:rsid w:val="00D81F21"/>
    <w:rsid w:val="00D864F2"/>
    <w:rsid w:val="00D92F95"/>
    <w:rsid w:val="00D943F8"/>
    <w:rsid w:val="00D94E4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C6BE7"/>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49E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B1B8A"/>
    <w:rsid w:val="00EC059F"/>
    <w:rsid w:val="00EC1F24"/>
    <w:rsid w:val="00EC22F6"/>
    <w:rsid w:val="00EC40D5"/>
    <w:rsid w:val="00ED035E"/>
    <w:rsid w:val="00ED5B9B"/>
    <w:rsid w:val="00ED6BAD"/>
    <w:rsid w:val="00ED7447"/>
    <w:rsid w:val="00EE00D6"/>
    <w:rsid w:val="00EE11E7"/>
    <w:rsid w:val="00EE1488"/>
    <w:rsid w:val="00EE29AD"/>
    <w:rsid w:val="00EE3E24"/>
    <w:rsid w:val="00EE4D5D"/>
    <w:rsid w:val="00EE5131"/>
    <w:rsid w:val="00EF109B"/>
    <w:rsid w:val="00EF1F1A"/>
    <w:rsid w:val="00EF201C"/>
    <w:rsid w:val="00EF36AF"/>
    <w:rsid w:val="00EF59A3"/>
    <w:rsid w:val="00EF630A"/>
    <w:rsid w:val="00EF6675"/>
    <w:rsid w:val="00F00F9C"/>
    <w:rsid w:val="00F01CB2"/>
    <w:rsid w:val="00F01E5F"/>
    <w:rsid w:val="00F024F3"/>
    <w:rsid w:val="00F02ABA"/>
    <w:rsid w:val="00F0437A"/>
    <w:rsid w:val="00F059F2"/>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3298"/>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03AC"/>
    <w:rsid w:val="00FF2A4E"/>
    <w:rsid w:val="00FF2FCE"/>
    <w:rsid w:val="00FF4DE4"/>
    <w:rsid w:val="00FF4F7D"/>
    <w:rsid w:val="00FF54DF"/>
    <w:rsid w:val="00FF6D9D"/>
    <w:rsid w:val="00FF7DD5"/>
    <w:rsid w:val="0105F61E"/>
    <w:rsid w:val="01651645"/>
    <w:rsid w:val="027159C6"/>
    <w:rsid w:val="04736385"/>
    <w:rsid w:val="05278F63"/>
    <w:rsid w:val="061E5DE3"/>
    <w:rsid w:val="0BDEA59B"/>
    <w:rsid w:val="0C1D9BA8"/>
    <w:rsid w:val="0E43994D"/>
    <w:rsid w:val="0F16465D"/>
    <w:rsid w:val="143FEBA4"/>
    <w:rsid w:val="195BC064"/>
    <w:rsid w:val="1BB6BF21"/>
    <w:rsid w:val="1DAA0E34"/>
    <w:rsid w:val="1FB41DAE"/>
    <w:rsid w:val="2006F351"/>
    <w:rsid w:val="226BF86F"/>
    <w:rsid w:val="25D51CCA"/>
    <w:rsid w:val="2C814A76"/>
    <w:rsid w:val="2CA77D81"/>
    <w:rsid w:val="2DC05325"/>
    <w:rsid w:val="2F61A261"/>
    <w:rsid w:val="30FD72C2"/>
    <w:rsid w:val="3177A907"/>
    <w:rsid w:val="3270E162"/>
    <w:rsid w:val="349CE291"/>
    <w:rsid w:val="363A5A64"/>
    <w:rsid w:val="3753182E"/>
    <w:rsid w:val="386F1543"/>
    <w:rsid w:val="39D2ADB4"/>
    <w:rsid w:val="3E2FA79A"/>
    <w:rsid w:val="4096F687"/>
    <w:rsid w:val="43CC7494"/>
    <w:rsid w:val="44C34BFD"/>
    <w:rsid w:val="4D088208"/>
    <w:rsid w:val="519A0F31"/>
    <w:rsid w:val="51DBF32B"/>
    <w:rsid w:val="5250D838"/>
    <w:rsid w:val="53D6170C"/>
    <w:rsid w:val="551393ED"/>
    <w:rsid w:val="58053CE5"/>
    <w:rsid w:val="584B34AF"/>
    <w:rsid w:val="58769E9D"/>
    <w:rsid w:val="59A83443"/>
    <w:rsid w:val="5E7C6BEF"/>
    <w:rsid w:val="5F1632E3"/>
    <w:rsid w:val="5FBF38F2"/>
    <w:rsid w:val="600ECAA7"/>
    <w:rsid w:val="60183C50"/>
    <w:rsid w:val="615B0953"/>
    <w:rsid w:val="62F6D9B4"/>
    <w:rsid w:val="634FDD12"/>
    <w:rsid w:val="6367283C"/>
    <w:rsid w:val="6481AA49"/>
    <w:rsid w:val="666E5577"/>
    <w:rsid w:val="66877DD4"/>
    <w:rsid w:val="68234E35"/>
    <w:rsid w:val="693BF30F"/>
    <w:rsid w:val="6A24FBC1"/>
    <w:rsid w:val="6B262FA7"/>
    <w:rsid w:val="6B448A14"/>
    <w:rsid w:val="6F083471"/>
    <w:rsid w:val="6F653CC9"/>
    <w:rsid w:val="6F9166FB"/>
    <w:rsid w:val="75F7FD5F"/>
    <w:rsid w:val="76CA397E"/>
    <w:rsid w:val="77B64678"/>
    <w:rsid w:val="7AA768A5"/>
    <w:rsid w:val="7B5D3E23"/>
    <w:rsid w:val="7C91A521"/>
    <w:rsid w:val="7DE77DB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6E3764"/>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7"/>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7"/>
      </w:numPr>
    </w:pPr>
  </w:style>
  <w:style w:type="paragraph" w:customStyle="1" w:styleId="Numberlowerroman">
    <w:name w:val="Number lower roman"/>
    <w:basedOn w:val="Body"/>
    <w:uiPriority w:val="3"/>
    <w:rsid w:val="00721CFB"/>
    <w:pPr>
      <w:numPr>
        <w:numId w:val="6"/>
      </w:numPr>
    </w:pPr>
  </w:style>
  <w:style w:type="paragraph" w:customStyle="1" w:styleId="Numberlowerromanindent">
    <w:name w:val="Number lower roman indent"/>
    <w:basedOn w:val="Body"/>
    <w:uiPriority w:val="3"/>
    <w:rsid w:val="00721CFB"/>
    <w:pPr>
      <w:numPr>
        <w:ilvl w:val="1"/>
        <w:numId w:val="6"/>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7"/>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Menzionenonrisolta1">
    <w:name w:val="Menzione non risolta1"/>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customStyle="1" w:styleId="paragraph">
    <w:name w:val="paragraph"/>
    <w:basedOn w:val="Normal"/>
    <w:rsid w:val="00341EBE"/>
    <w:pPr>
      <w:spacing w:before="100" w:beforeAutospacing="1" w:after="100"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341EBE"/>
  </w:style>
  <w:style w:type="character" w:customStyle="1" w:styleId="eop">
    <w:name w:val="eop"/>
    <w:basedOn w:val="DefaultParagraphFont"/>
    <w:rsid w:val="00341EBE"/>
  </w:style>
  <w:style w:type="paragraph" w:styleId="ListParagraph">
    <w:name w:val="List Paragraph"/>
    <w:basedOn w:val="Normal"/>
    <w:uiPriority w:val="34"/>
    <w:qFormat/>
    <w:rsid w:val="00B4078D"/>
    <w:pPr>
      <w:ind w:left="720"/>
      <w:contextualSpacing/>
    </w:pPr>
  </w:style>
  <w:style w:type="character" w:customStyle="1" w:styleId="contentpasted0">
    <w:name w:val="contentpasted0"/>
    <w:basedOn w:val="DefaultParagraphFont"/>
    <w:rsid w:val="00AD6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betterhealth.vic.gov.au/health/serviceprofiles/nurse-on-call-service"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betterhealth.vic.gov.au/health/serviceprofiles/general-practitioner-services" TargetMode="External"/><Relationship Id="rId2" Type="http://schemas.openxmlformats.org/officeDocument/2006/relationships/customXml" Target="../customXml/item2.xml"/><Relationship Id="rId16" Type="http://schemas.openxmlformats.org/officeDocument/2006/relationships/hyperlink" Target="https://www.mpxvaccine.forms.health.vic.gov.au/" TargetMode="External"/><Relationship Id="rId20" Type="http://schemas.openxmlformats.org/officeDocument/2006/relationships/hyperlink" Target="https://www.betterhealth.vic.gov.au/mental-health-and-wellbeing-hub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health.vic.gov.au/infectious-diseases/monkeypo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tel:130060602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3B5FE65A092245943D29EBC73A887A" ma:contentTypeVersion="6" ma:contentTypeDescription="Create a new document." ma:contentTypeScope="" ma:versionID="28fe9bf44911c39fa140e4f2353e09a4">
  <xsd:schema xmlns:xsd="http://www.w3.org/2001/XMLSchema" xmlns:xs="http://www.w3.org/2001/XMLSchema" xmlns:p="http://schemas.microsoft.com/office/2006/metadata/properties" xmlns:ns2="aac0504e-7b44-4f77-b770-7cbe32b01118" xmlns:ns3="bf9204d6-b62b-45e6-bfb8-51079c884d95" targetNamespace="http://schemas.microsoft.com/office/2006/metadata/properties" ma:root="true" ma:fieldsID="bfa391794b7754ff8e94f9dcfce566c0" ns2:_="" ns3:_="">
    <xsd:import namespace="aac0504e-7b44-4f77-b770-7cbe32b01118"/>
    <xsd:import namespace="bf9204d6-b62b-45e6-bfb8-51079c884d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c0504e-7b44-4f77-b770-7cbe32b011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9204d6-b62b-45e6-bfb8-51079c884d9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f9204d6-b62b-45e6-bfb8-51079c884d95">
      <UserInfo>
        <DisplayName>Min-Ho Jung (Health)</DisplayName>
        <AccountId>43</AccountId>
        <AccountType/>
      </UserInfo>
      <UserInfo>
        <DisplayName>Max Braddick (Health)</DisplayName>
        <AccountId>40</AccountId>
        <AccountType/>
      </UserInfo>
      <UserInfo>
        <DisplayName>Helen O'Brien (Health)</DisplayName>
        <AccountId>10</AccountId>
        <AccountType/>
      </UserInfo>
      <UserInfo>
        <DisplayName>Sarra Abdulatti (Health)</DisplayName>
        <AccountId>20</AccountId>
        <AccountType/>
      </UserInfo>
      <UserInfo>
        <DisplayName>Daniel Zander (Health)</DisplayName>
        <AccountId>101</AccountId>
        <AccountType/>
      </UserInfo>
      <UserInfo>
        <DisplayName>Sarah Axford (Health)</DisplayName>
        <AccountId>97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98BE3-919D-4DAA-8E49-92ABD8F0B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c0504e-7b44-4f77-b770-7cbe32b01118"/>
    <ds:schemaRef ds:uri="bf9204d6-b62b-45e6-bfb8-51079c884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bf9204d6-b62b-45e6-bfb8-51079c884d95"/>
  </ds:schemaRefs>
</ds:datastoreItem>
</file>

<file path=customXml/itemProps4.xml><?xml version="1.0" encoding="utf-8"?>
<ds:datastoreItem xmlns:ds="http://schemas.openxmlformats.org/officeDocument/2006/customXml" ds:itemID="{0F9EC053-40CD-430F-959A-6F2CCD22F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1423</Words>
  <Characters>8113</Characters>
  <Application>Microsoft Office Word</Application>
  <DocSecurity>0</DocSecurity>
  <Lines>67</Lines>
  <Paragraphs>19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Victoria State Government, Department of Health</Company>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12</cp:revision>
  <cp:lastPrinted>2022-10-25T03:43:00Z</cp:lastPrinted>
  <dcterms:created xsi:type="dcterms:W3CDTF">2022-10-21T20:41:00Z</dcterms:created>
  <dcterms:modified xsi:type="dcterms:W3CDTF">2022-10-25T03:44:00Z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Factsheet</vt:lpwstr>
  </property>
  <property fmtid="{D5CDD505-2E9C-101B-9397-08002B2CF9AE}" pid="3" name="ComplianceAssetId">
    <vt:lpwstr/>
  </property>
  <property fmtid="{D5CDD505-2E9C-101B-9397-08002B2CF9AE}" pid="4" name="ContentTypeId">
    <vt:lpwstr>0x010100FE3B5FE65A092245943D29EBC73A887A</vt:lpwstr>
  </property>
  <property fmtid="{D5CDD505-2E9C-101B-9397-08002B2CF9AE}" pid="5" name="Days before next review">
    <vt:r8>365</vt:r8>
  </property>
  <property fmtid="{D5CDD505-2E9C-101B-9397-08002B2CF9AE}" pid="6" name="Language">
    <vt:lpwstr>English</vt:lpwstr>
  </property>
  <property fmtid="{D5CDD505-2E9C-101B-9397-08002B2CF9AE}" pid="7" name="MSIP_Label_43e64453-338c-4f93-8a4d-0039a0a41f2a_ActionId">
    <vt:lpwstr>cba812a2-3643-4b69-abe4-5b0cbaab29c3</vt:lpwstr>
  </property>
  <property fmtid="{D5CDD505-2E9C-101B-9397-08002B2CF9AE}" pid="8" name="MSIP_Label_43e64453-338c-4f93-8a4d-0039a0a41f2a_ContentBits">
    <vt:lpwstr>2</vt:lpwstr>
  </property>
  <property fmtid="{D5CDD505-2E9C-101B-9397-08002B2CF9AE}" pid="9" name="MSIP_Label_43e64453-338c-4f93-8a4d-0039a0a41f2a_Enabled">
    <vt:lpwstr>true</vt:lpwstr>
  </property>
  <property fmtid="{D5CDD505-2E9C-101B-9397-08002B2CF9AE}" pid="10" name="MSIP_Label_43e64453-338c-4f93-8a4d-0039a0a41f2a_Method">
    <vt:lpwstr>Privileged</vt:lpwstr>
  </property>
  <property fmtid="{D5CDD505-2E9C-101B-9397-08002B2CF9AE}" pid="11" name="MSIP_Label_43e64453-338c-4f93-8a4d-0039a0a41f2a_Name">
    <vt:lpwstr>43e64453-338c-4f93-8a4d-0039a0a41f2a</vt:lpwstr>
  </property>
  <property fmtid="{D5CDD505-2E9C-101B-9397-08002B2CF9AE}" pid="12" name="MSIP_Label_43e64453-338c-4f93-8a4d-0039a0a41f2a_SetDate">
    <vt:lpwstr>2022-10-17T01:54:47Z</vt:lpwstr>
  </property>
  <property fmtid="{D5CDD505-2E9C-101B-9397-08002B2CF9AE}" pid="13" name="MSIP_Label_43e64453-338c-4f93-8a4d-0039a0a41f2a_SiteId">
    <vt:lpwstr>c0e0601f-0fac-449c-9c88-a104c4eb9f28</vt:lpwstr>
  </property>
  <property fmtid="{D5CDD505-2E9C-101B-9397-08002B2CF9AE}" pid="14" name="TemplateUrl">
    <vt:lpwstr/>
  </property>
  <property fmtid="{D5CDD505-2E9C-101B-9397-08002B2CF9AE}" pid="15" name="TemplateVersion">
    <vt:i4>1</vt:i4>
  </property>
  <property fmtid="{D5CDD505-2E9C-101B-9397-08002B2CF9AE}" pid="16" name="version">
    <vt:lpwstr>v5 15032021</vt:lpwstr>
  </property>
  <property fmtid="{D5CDD505-2E9C-101B-9397-08002B2CF9AE}" pid="17" name="WebPage">
    <vt:lpwstr>https://dhhsvicgovau.sharepoint.com/:w:/s/health/EfWE1MaM091KmQAbxOV76oQBjlKVGGXZ-KGB_8f7MHqinw, https://dhhsvicgovau.sharepoint.com/:w:/s/health/EfWE1MaM091KmQAbxOV76oQBjlKVGGXZ-KGB_8f7MHqinw</vt:lpwstr>
  </property>
  <property fmtid="{D5CDD505-2E9C-101B-9397-08002B2CF9AE}" pid="18" name="xd_ProgID">
    <vt:lpwstr/>
  </property>
  <property fmtid="{D5CDD505-2E9C-101B-9397-08002B2CF9AE}" pid="19" name="xd_Signature">
    <vt:bool>false</vt:bool>
  </property>
  <property fmtid="{D5CDD505-2E9C-101B-9397-08002B2CF9AE}" pid="20" name="_ExtendedDescription">
    <vt:lpwstr/>
  </property>
  <property fmtid="{D5CDD505-2E9C-101B-9397-08002B2CF9AE}" pid="21" name="_MarkAsFinal">
    <vt:lpwstr>true</vt:lpwstr>
  </property>
</Properties>
</file>