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A47F08" w:rsidRPr="00A47F08" w:rsidTr="002B0782">
        <w:trPr>
          <w:trHeight w:val="562"/>
          <w:jc w:val="center"/>
        </w:trPr>
        <w:tc>
          <w:tcPr>
            <w:tcW w:w="5102" w:type="dxa"/>
            <w:tcBorders>
              <w:top w:val="single" w:sz="4" w:space="0" w:color="auto"/>
              <w:bottom w:val="single" w:sz="4" w:space="0" w:color="auto"/>
              <w:right w:val="nil"/>
            </w:tcBorders>
            <w:vAlign w:val="center"/>
          </w:tcPr>
          <w:p w:rsidR="00A47F08" w:rsidRPr="00C53E8A" w:rsidRDefault="00A47F08" w:rsidP="00A47F08">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left w:val="nil"/>
              <w:bottom w:val="single" w:sz="4" w:space="0" w:color="auto"/>
            </w:tcBorders>
          </w:tcPr>
          <w:p w:rsidR="00A47F08" w:rsidRPr="008943AC" w:rsidRDefault="00A47F08" w:rsidP="00A47F08">
            <w:pPr>
              <w:rPr>
                <w:b/>
                <w:bCs/>
                <w:sz w:val="28"/>
                <w:szCs w:val="28"/>
                <w:lang w:val="el-GR"/>
              </w:rPr>
            </w:pPr>
            <w:r w:rsidRPr="008943AC">
              <w:rPr>
                <w:b/>
                <w:bCs/>
                <w:sz w:val="28"/>
                <w:szCs w:val="28"/>
                <w:lang w:val="el-GR"/>
              </w:rPr>
              <w:t>Φροντιστές, υπηρεσίες φροντίδας και ανάπαυλας</w:t>
            </w:r>
          </w:p>
        </w:tc>
      </w:tr>
      <w:tr w:rsidR="00A47F08" w:rsidRPr="00A47F08" w:rsidTr="002B0782">
        <w:trPr>
          <w:jc w:val="center"/>
        </w:trPr>
        <w:tc>
          <w:tcPr>
            <w:tcW w:w="5102" w:type="dxa"/>
            <w:tcBorders>
              <w:top w:val="single" w:sz="4" w:space="0" w:color="auto"/>
            </w:tcBorders>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A47F08" w:rsidRPr="008943AC" w:rsidRDefault="00A47F08" w:rsidP="00A47F08">
            <w:pPr>
              <w:rPr>
                <w:sz w:val="24"/>
                <w:szCs w:val="24"/>
                <w:lang w:val="el-GR"/>
              </w:rPr>
            </w:pPr>
            <w:r w:rsidRPr="008943AC">
              <w:rPr>
                <w:sz w:val="24"/>
                <w:szCs w:val="24"/>
                <w:lang w:val="el-GR"/>
              </w:rPr>
              <w:t>Η πλήρης απασχόληση ως φροντιστής προσφέρει ικανοποίηση, αλλά μπορεί να είναι και δύσκολη.</w:t>
            </w:r>
          </w:p>
        </w:tc>
      </w:tr>
      <w:tr w:rsidR="00A47F08" w:rsidRPr="00A47F08" w:rsidTr="00E5092E">
        <w:trPr>
          <w:trHeight w:val="838"/>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A47F08" w:rsidRPr="008943AC" w:rsidRDefault="00A47F08" w:rsidP="00A47F08">
            <w:pPr>
              <w:rPr>
                <w:sz w:val="24"/>
                <w:szCs w:val="24"/>
                <w:lang w:val="el-GR"/>
              </w:rPr>
            </w:pPr>
            <w:r w:rsidRPr="008943AC">
              <w:rPr>
                <w:sz w:val="24"/>
                <w:szCs w:val="24"/>
                <w:lang w:val="el-GR"/>
              </w:rPr>
              <w:t>Η Βικτώρια έχει μια πλούσια συλλογή υπηρεσιών υποστήριξης για να βοηθήσουν τα άτομα που είναι φροντιστές και τα φροντιζόμενα άτομα. Ο όρος "φροντιστής" αναφέρεται σε έμμισθο και άμισθο επαγγελματία φροντίδας και απλούς φροντιστές.</w:t>
            </w:r>
          </w:p>
        </w:tc>
      </w:tr>
      <w:tr w:rsidR="00A47F08" w:rsidRPr="00A47F08" w:rsidTr="00E5092E">
        <w:trPr>
          <w:trHeight w:val="427"/>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A47F08" w:rsidRPr="008943AC" w:rsidRDefault="00A47F08" w:rsidP="00A47F08">
            <w:pPr>
              <w:rPr>
                <w:sz w:val="24"/>
                <w:szCs w:val="24"/>
                <w:lang w:val="el-GR"/>
              </w:rPr>
            </w:pPr>
            <w:r w:rsidRPr="008943AC">
              <w:rPr>
                <w:sz w:val="24"/>
                <w:szCs w:val="24"/>
                <w:lang w:val="el-GR"/>
              </w:rPr>
              <w:t>Οι επαγγελματίες φροντιστές είναι άτομα που είναι εκπαιδευμένα και πληρώνονται για να φροντίζουν ανθρώπους, αλλά πολλοί φροντιστές είναι μέλη οικογενειών που φροντίζουν ηλικιωμένους γονείς, το παιδί τους, ή σύντροφό τους. Φροντιστές μπορεί επίσης να είναι φίλοι ή γείτονες.</w:t>
            </w:r>
          </w:p>
        </w:tc>
      </w:tr>
      <w:tr w:rsidR="00A47F08" w:rsidRPr="00A47F08" w:rsidTr="00E5092E">
        <w:trPr>
          <w:trHeight w:val="834"/>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A47F08" w:rsidRPr="008943AC" w:rsidRDefault="00A47F08" w:rsidP="00A47F08">
            <w:pPr>
              <w:rPr>
                <w:sz w:val="24"/>
                <w:szCs w:val="24"/>
                <w:lang w:val="el-GR"/>
              </w:rPr>
            </w:pPr>
            <w:r w:rsidRPr="008943AC">
              <w:rPr>
                <w:sz w:val="24"/>
                <w:szCs w:val="24"/>
                <w:lang w:val="el-GR"/>
              </w:rPr>
              <w:t>Εκτός από μέλη οικογενειών, σύντροφοι, φίλοι και γείτονες που φροντίζουν κάποιον, υπάρχουν πολλοί άλλοι επαγγελματίες φροντιστές γνωστοί ως υπάλληλοι φροντίδας.</w:t>
            </w:r>
          </w:p>
        </w:tc>
      </w:tr>
      <w:tr w:rsidR="00A47F08" w:rsidRPr="00A47F08" w:rsidTr="00E5092E">
        <w:trPr>
          <w:trHeight w:val="523"/>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A47F08" w:rsidRPr="008943AC" w:rsidRDefault="00A47F08" w:rsidP="00A47F08">
            <w:pPr>
              <w:rPr>
                <w:sz w:val="24"/>
                <w:szCs w:val="24"/>
                <w:lang w:val="el-GR"/>
              </w:rPr>
            </w:pPr>
            <w:r w:rsidRPr="008943AC">
              <w:rPr>
                <w:sz w:val="24"/>
                <w:szCs w:val="24"/>
                <w:lang w:val="el-GR"/>
              </w:rPr>
              <w:t>Στους έμμισθους φροντιστές περιλαμβάνονται οικιακοί υπάλληλοι φροντίδας, υπάλληλοι προσωπικής φροντίδας και υπάλληλοι υποστήριξης αναπηρίας.</w:t>
            </w:r>
            <w:bookmarkStart w:id="0" w:name="_GoBack"/>
            <w:bookmarkEnd w:id="0"/>
          </w:p>
        </w:tc>
      </w:tr>
      <w:tr w:rsidR="00A47F08" w:rsidRPr="00A47F08" w:rsidTr="00E5092E">
        <w:trPr>
          <w:trHeight w:val="902"/>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A47F08" w:rsidRPr="008943AC" w:rsidRDefault="00A47F08" w:rsidP="00A47F08">
            <w:pPr>
              <w:rPr>
                <w:sz w:val="24"/>
                <w:szCs w:val="24"/>
                <w:lang w:val="el-GR"/>
              </w:rPr>
            </w:pPr>
            <w:r w:rsidRPr="008943AC">
              <w:rPr>
                <w:sz w:val="24"/>
                <w:szCs w:val="24"/>
                <w:lang w:val="el-GR"/>
              </w:rPr>
              <w:t>Όλοι οι υπάλληλοι προσωπικής φροντίδας στη Βικτώρια πρέπει να έχουν Πιστοποιητικό Γ' στην οικιακή και κοινοτική φροντίδα ή σχετικό τομέα όπως φροντίδα αναπηρίας ή ηλικιωμένων, με σχετική ειδικότητα στην προσωπική φροντίδα και πρώτες βοήθειες.</w:t>
            </w:r>
          </w:p>
        </w:tc>
      </w:tr>
      <w:tr w:rsidR="00A47F08" w:rsidRPr="00A47F08" w:rsidTr="00E5092E">
        <w:trPr>
          <w:trHeight w:val="1114"/>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A47F08" w:rsidRPr="008943AC" w:rsidRDefault="00A47F08" w:rsidP="00A47F08">
            <w:pPr>
              <w:rPr>
                <w:sz w:val="24"/>
                <w:szCs w:val="24"/>
                <w:lang w:val="el-GR"/>
              </w:rPr>
            </w:pPr>
            <w:r w:rsidRPr="008943AC">
              <w:rPr>
                <w:sz w:val="24"/>
                <w:szCs w:val="24"/>
                <w:lang w:val="el-GR"/>
              </w:rPr>
              <w:t>Για παράδειγμα, οι υπάλληλοι φροντίδας ηλικιωμένων παρέχουν φροντίδα και υποστήριξη σε ηλικιωμένους στις γηροκομικές εγκαταστάσεις, κλινικές, νοσοκομεία και ιδιωτικά σπίτια.</w:t>
            </w:r>
          </w:p>
        </w:tc>
      </w:tr>
      <w:tr w:rsidR="00A9152D" w:rsidRPr="00A9152D" w:rsidTr="00E5092E">
        <w:trPr>
          <w:trHeight w:val="1136"/>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They help with personal care, such as showering, dressing and eating, domestic duties, preparing meals and cleaning, and managing illness, such as helping a person with medicines.</w:t>
            </w:r>
          </w:p>
        </w:tc>
        <w:tc>
          <w:tcPr>
            <w:tcW w:w="5102" w:type="dxa"/>
          </w:tcPr>
          <w:p w:rsidR="00A9152D" w:rsidRPr="008943AC" w:rsidRDefault="00A9152D" w:rsidP="00A9152D">
            <w:pPr>
              <w:rPr>
                <w:sz w:val="24"/>
                <w:szCs w:val="24"/>
                <w:lang w:val="el-GR"/>
              </w:rPr>
            </w:pPr>
            <w:r w:rsidRPr="008943AC">
              <w:rPr>
                <w:sz w:val="24"/>
                <w:szCs w:val="24"/>
                <w:lang w:val="el-GR"/>
              </w:rPr>
              <w:t>Βοηθούν με την προσωπική φροντίδα όπως ντους, ντύσιμο και φαγητό, δουλειές του σπιτιού, προετοιμασία γευμάτων και καθάρισμα και διαχείριση ασθενειών, όπως βοηθούν κάποιο άτομο με τα φάρμακα.</w:t>
            </w:r>
          </w:p>
        </w:tc>
      </w:tr>
      <w:tr w:rsidR="00A9152D" w:rsidRPr="00C53E8A" w:rsidTr="00E5092E">
        <w:trPr>
          <w:trHeight w:val="829"/>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102" w:type="dxa"/>
          </w:tcPr>
          <w:p w:rsidR="00A9152D" w:rsidRPr="008943AC" w:rsidRDefault="00A9152D" w:rsidP="00A9152D">
            <w:pPr>
              <w:rPr>
                <w:sz w:val="24"/>
                <w:szCs w:val="24"/>
                <w:lang w:val="el-GR"/>
              </w:rPr>
            </w:pPr>
            <w:r w:rsidRPr="008943AC">
              <w:rPr>
                <w:sz w:val="24"/>
                <w:szCs w:val="24"/>
                <w:lang w:val="el-GR"/>
              </w:rPr>
              <w:t>Η δουλειά μου αφορά περισσότερο να φροντίζω για τρεις βασικές ανάγκες των οικότροφων. Η πρώτη είναι οι σωματικές τους ανάγκες Η δεύτερη είναι η κοινωνική ανάγκη. Και η τρίτη είναι οι ψυχολογικές συναισθηματικές ανάγκες. Βοηθάμε τους οικότροφους να είναι ανεξάρτητοι, αλλά επίσης να είμαστε εκεί αν μας χρειάζονται για να τους βοηθήσουμε.</w:t>
            </w:r>
          </w:p>
        </w:tc>
      </w:tr>
      <w:tr w:rsidR="00A9152D" w:rsidRPr="00A9152D" w:rsidTr="00E5092E">
        <w:trPr>
          <w:trHeight w:val="1110"/>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A9152D" w:rsidRPr="008943AC" w:rsidRDefault="00A9152D" w:rsidP="00A9152D">
            <w:pPr>
              <w:rPr>
                <w:sz w:val="24"/>
                <w:szCs w:val="24"/>
                <w:lang w:val="el-GR"/>
              </w:rPr>
            </w:pPr>
            <w:r w:rsidRPr="008943AC">
              <w:rPr>
                <w:sz w:val="24"/>
                <w:szCs w:val="24"/>
                <w:lang w:val="el-GR"/>
              </w:rPr>
              <w:t>Ενώ πολλοί φροντιστές μιλάνε για το πόσο ωφελούνται που είναι φροντιστές, είναι σημαντικό να εξετάσετε πόση δουλειά εμπεριέχει, ειδικά ως άμισθος φροντιστής που φροντίζει κάποιο αγαπημένο πρόσωπο.</w:t>
            </w:r>
          </w:p>
        </w:tc>
      </w:tr>
      <w:tr w:rsidR="00A9152D" w:rsidRPr="00A9152D" w:rsidTr="00E5092E">
        <w:trPr>
          <w:trHeight w:val="1136"/>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A9152D" w:rsidRPr="008943AC" w:rsidRDefault="00A9152D" w:rsidP="00A9152D">
            <w:pPr>
              <w:rPr>
                <w:sz w:val="24"/>
                <w:szCs w:val="24"/>
                <w:lang w:val="el-GR"/>
              </w:rPr>
            </w:pPr>
            <w:r w:rsidRPr="008943AC">
              <w:rPr>
                <w:sz w:val="24"/>
                <w:szCs w:val="24"/>
                <w:lang w:val="el-GR"/>
              </w:rPr>
              <w:t>Μπορεί να έχετε μειωμένο εισόδημα αν αφήσετε τη δουλειά σας, ψυχικό και σωματικό στρες, ή να αισθάνεστε απομονωμένοι.</w:t>
            </w:r>
          </w:p>
        </w:tc>
      </w:tr>
      <w:tr w:rsidR="00A9152D" w:rsidRPr="00606B6F" w:rsidTr="00E5092E">
        <w:trPr>
          <w:trHeight w:val="711"/>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A9152D" w:rsidRPr="008943AC" w:rsidRDefault="00A9152D" w:rsidP="00A9152D">
            <w:pPr>
              <w:rPr>
                <w:sz w:val="24"/>
                <w:szCs w:val="24"/>
                <w:lang w:val="el-GR"/>
              </w:rPr>
            </w:pPr>
            <w:r w:rsidRPr="008943AC">
              <w:rPr>
                <w:sz w:val="24"/>
                <w:szCs w:val="24"/>
                <w:lang w:val="el-GR"/>
              </w:rPr>
              <w:t>Σ' αυτό το σημείο χρειάζεται η υποστήριξη.</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606B6F" w:rsidRPr="008943AC" w:rsidRDefault="00606B6F" w:rsidP="00606B6F">
            <w:pPr>
              <w:rPr>
                <w:sz w:val="24"/>
                <w:szCs w:val="24"/>
                <w:lang w:val="el-GR"/>
              </w:rPr>
            </w:pPr>
            <w:r w:rsidRPr="008943AC">
              <w:rPr>
                <w:sz w:val="24"/>
                <w:szCs w:val="24"/>
                <w:lang w:val="el-GR"/>
              </w:rPr>
              <w:t>Υπάρχουν φορές που είναι λιγάκι δύσκολο. Είναι θαυμάσιο με την ανακουφιστική φροντίδα, έχουν κοινωνικούς λειτουργούς και τα λοιπά, που αποτελεί μια μεγάλη βοήθεια για μένα και για τον πατέρα μου, και επιτελούν μια εξαιρετικά θαυμάσια δουλειά.</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606B6F" w:rsidRPr="008943AC" w:rsidRDefault="00606B6F" w:rsidP="00606B6F">
            <w:pPr>
              <w:rPr>
                <w:sz w:val="24"/>
                <w:szCs w:val="24"/>
                <w:lang w:val="el-GR"/>
              </w:rPr>
            </w:pPr>
            <w:r w:rsidRPr="008943AC">
              <w:rPr>
                <w:sz w:val="24"/>
                <w:szCs w:val="24"/>
                <w:lang w:val="el-GR"/>
              </w:rPr>
              <w:t>Η αυστραλιανή κυβέρνηση προσφέρει υποστήριξη στους φροντιστές που φροντίζουν κάποιον με αναπηρία ή ψυχική ασθένεια, με μια ιατρική πάθηση, μετά από μια ασθένεια ή ατύχημα, ή κάποιο ηλικιωμένο άτομο με ανάγκες φροντίδας.</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Support is also available to carers of people with a terminal or life-limiting illness, including respite, personal support, financial support, </w:t>
            </w:r>
            <w:r w:rsidRPr="00A97408">
              <w:rPr>
                <w:rFonts w:asciiTheme="minorBidi" w:hAnsiTheme="minorBidi" w:cstheme="minorBidi"/>
                <w:color w:val="000000" w:themeColor="text1"/>
              </w:rPr>
              <w:lastRenderedPageBreak/>
              <w:t>information, education, counselling, networking opportunities. </w:t>
            </w:r>
          </w:p>
        </w:tc>
        <w:tc>
          <w:tcPr>
            <w:tcW w:w="5102" w:type="dxa"/>
          </w:tcPr>
          <w:p w:rsidR="00606B6F" w:rsidRPr="008943AC" w:rsidRDefault="00606B6F" w:rsidP="00606B6F">
            <w:pPr>
              <w:rPr>
                <w:sz w:val="24"/>
                <w:szCs w:val="24"/>
                <w:lang w:val="el-GR"/>
              </w:rPr>
            </w:pPr>
            <w:r w:rsidRPr="008943AC">
              <w:rPr>
                <w:sz w:val="24"/>
                <w:szCs w:val="24"/>
                <w:lang w:val="el-GR"/>
              </w:rPr>
              <w:lastRenderedPageBreak/>
              <w:t xml:space="preserve">Υποστήριξη διατίθεται επίσης σε φροντιστές ατόμων με μια ανίατη ασθένεια, περιλαμβανομένης ανάπαυλας, προσωπικής </w:t>
            </w:r>
            <w:r w:rsidRPr="008943AC">
              <w:rPr>
                <w:sz w:val="24"/>
                <w:szCs w:val="24"/>
                <w:lang w:val="el-GR"/>
              </w:rPr>
              <w:lastRenderedPageBreak/>
              <w:t>υποστήριξης, οικονομικής στήριξης, πληροφορίες, εκπαίδευση, συμβουλές, ευκαιρίες διασύνδεσης.</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 carer payment provides financial support to people who cannot work insubstantial paid employment because they provide full-time daily care. </w:t>
            </w:r>
          </w:p>
        </w:tc>
        <w:tc>
          <w:tcPr>
            <w:tcW w:w="5102" w:type="dxa"/>
          </w:tcPr>
          <w:p w:rsidR="00606B6F" w:rsidRPr="008943AC" w:rsidRDefault="00606B6F" w:rsidP="00606B6F">
            <w:pPr>
              <w:rPr>
                <w:sz w:val="24"/>
                <w:szCs w:val="24"/>
                <w:lang w:val="el-GR"/>
              </w:rPr>
            </w:pPr>
            <w:r w:rsidRPr="008943AC">
              <w:rPr>
                <w:sz w:val="24"/>
                <w:szCs w:val="24"/>
                <w:lang w:val="el-GR"/>
              </w:rPr>
              <w:t>Η πληρωμή φροντιστή παρέχει οικονομική στήριξη σε άτομα που δεν μπορούν να εργαστούν σε ουσιώδη έμμισθη απασχόληση επειδή παρέχουν πλήρη καθημερινή φροντίδα.</w:t>
            </w:r>
          </w:p>
        </w:tc>
      </w:tr>
      <w:tr w:rsidR="00606B6F" w:rsidRPr="00606B6F" w:rsidTr="00A97408">
        <w:trPr>
          <w:trHeight w:val="35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606B6F" w:rsidRPr="008943AC" w:rsidRDefault="00606B6F" w:rsidP="00606B6F">
            <w:pPr>
              <w:rPr>
                <w:sz w:val="24"/>
                <w:szCs w:val="24"/>
                <w:lang w:val="el-GR"/>
              </w:rPr>
            </w:pPr>
            <w:r w:rsidRPr="008943AC">
              <w:rPr>
                <w:sz w:val="24"/>
                <w:szCs w:val="24"/>
                <w:lang w:val="el-GR"/>
              </w:rPr>
              <w:t>Επισκεφθείτε το Υπουργείο Κοινωνικών Υπηρεσιών για να βρείτε πιο λεπτομερείς πληροφορίες για τις πληρωμές φροντιστών.</w:t>
            </w:r>
          </w:p>
        </w:tc>
      </w:tr>
      <w:tr w:rsidR="00606B6F" w:rsidRPr="00606B6F" w:rsidTr="00E5092E">
        <w:trPr>
          <w:trHeight w:val="1417"/>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606B6F" w:rsidRPr="008943AC" w:rsidRDefault="00606B6F" w:rsidP="00606B6F">
            <w:pPr>
              <w:rPr>
                <w:sz w:val="24"/>
                <w:szCs w:val="24"/>
                <w:lang w:val="el-GR"/>
              </w:rPr>
            </w:pPr>
            <w:r w:rsidRPr="008943AC">
              <w:rPr>
                <w:sz w:val="24"/>
                <w:szCs w:val="24"/>
                <w:lang w:val="el-GR"/>
              </w:rPr>
              <w:t xml:space="preserve">Υπάρχει ένα ευρύ φάσμα υποστήριξης για τη βοήθεια των φροντιστών στον ζωτικό ρόλο που επιτελούν. Για περισσότερες πληροφορίες επισκεφθείτε το </w:t>
            </w:r>
            <w:r w:rsidRPr="008943AC">
              <w:rPr>
                <w:sz w:val="24"/>
                <w:szCs w:val="24"/>
              </w:rPr>
              <w:t>BETTERHEALTH</w:t>
            </w:r>
            <w:r w:rsidRPr="008943AC">
              <w:rPr>
                <w:sz w:val="24"/>
                <w:szCs w:val="24"/>
                <w:lang w:val="el-GR"/>
              </w:rPr>
              <w:t>.</w:t>
            </w:r>
            <w:proofErr w:type="spellStart"/>
            <w:r w:rsidRPr="008943AC">
              <w:rPr>
                <w:sz w:val="24"/>
                <w:szCs w:val="24"/>
              </w:rPr>
              <w:t>vic</w:t>
            </w:r>
            <w:proofErr w:type="spellEnd"/>
            <w:r w:rsidRPr="008943AC">
              <w:rPr>
                <w:sz w:val="24"/>
                <w:szCs w:val="24"/>
                <w:lang w:val="el-GR"/>
              </w:rPr>
              <w:t>.</w:t>
            </w:r>
            <w:proofErr w:type="spellStart"/>
            <w:r w:rsidRPr="008943AC">
              <w:rPr>
                <w:sz w:val="24"/>
                <w:szCs w:val="24"/>
              </w:rPr>
              <w:t>gov</w:t>
            </w:r>
            <w:proofErr w:type="spellEnd"/>
            <w:r w:rsidRPr="008943AC">
              <w:rPr>
                <w:sz w:val="24"/>
                <w:szCs w:val="24"/>
                <w:lang w:val="el-GR"/>
              </w:rPr>
              <w:t>.</w:t>
            </w:r>
            <w:r w:rsidRPr="008943AC">
              <w:rPr>
                <w:sz w:val="24"/>
                <w:szCs w:val="24"/>
              </w:rPr>
              <w:t>au</w:t>
            </w:r>
            <w:r w:rsidRPr="008943AC">
              <w:rPr>
                <w:sz w:val="24"/>
                <w:szCs w:val="24"/>
                <w:lang w:val="el-GR"/>
              </w:rPr>
              <w:t>/</w:t>
            </w:r>
            <w:r w:rsidRPr="008943AC">
              <w:rPr>
                <w:sz w:val="24"/>
                <w:szCs w:val="24"/>
              </w:rPr>
              <w:t>carers</w:t>
            </w:r>
            <w:r w:rsidRPr="008943AC">
              <w:rPr>
                <w:sz w:val="24"/>
                <w:szCs w:val="24"/>
                <w:lang w:val="el-GR"/>
              </w:rPr>
              <w:t>.</w:t>
            </w:r>
          </w:p>
        </w:tc>
      </w:tr>
    </w:tbl>
    <w:p w:rsidR="00CF2348" w:rsidRPr="00606B6F" w:rsidRDefault="00CF2348" w:rsidP="00A47F08">
      <w:pPr>
        <w:rPr>
          <w:rFonts w:asciiTheme="minorBidi" w:hAnsiTheme="minorBidi"/>
          <w:sz w:val="24"/>
          <w:szCs w:val="24"/>
          <w:lang w:val="el-GR"/>
        </w:rPr>
      </w:pPr>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2B0782">
              <w:rPr>
                <w:rFonts w:asciiTheme="minorBidi" w:hAnsiTheme="minorBidi"/>
                <w:noProof/>
                <w:sz w:val="18"/>
                <w:szCs w:val="18"/>
              </w:rPr>
              <w:t>3</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2B0782">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31744"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2B0782" w:rsidP="009A2BA3">
    <w:pPr>
      <w:pStyle w:val="Header"/>
      <w:jc w:val="right"/>
    </w:pPr>
  </w:p>
  <w:p w:rsidR="00A47F08" w:rsidRDefault="00A47F08" w:rsidP="00A47F08">
    <w:pPr>
      <w:pStyle w:val="Header"/>
      <w:wordWrap w:val="0"/>
      <w:jc w:val="right"/>
      <w:rPr>
        <w:rFonts w:asciiTheme="minorBidi" w:hAnsiTheme="minorBidi"/>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2B0782"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D2A45"/>
    <w:rsid w:val="002B0782"/>
    <w:rsid w:val="00345FC9"/>
    <w:rsid w:val="00451948"/>
    <w:rsid w:val="00544DEF"/>
    <w:rsid w:val="00606B6F"/>
    <w:rsid w:val="00616F69"/>
    <w:rsid w:val="006274E3"/>
    <w:rsid w:val="00637E60"/>
    <w:rsid w:val="007C4362"/>
    <w:rsid w:val="00803877"/>
    <w:rsid w:val="00854DE6"/>
    <w:rsid w:val="008943AC"/>
    <w:rsid w:val="008E4F82"/>
    <w:rsid w:val="00910AA6"/>
    <w:rsid w:val="00933B0F"/>
    <w:rsid w:val="00A47F08"/>
    <w:rsid w:val="00A9152D"/>
    <w:rsid w:val="00A95B6F"/>
    <w:rsid w:val="00A95CFB"/>
    <w:rsid w:val="00A97408"/>
    <w:rsid w:val="00AC3CDD"/>
    <w:rsid w:val="00AD4FCA"/>
    <w:rsid w:val="00B323BF"/>
    <w:rsid w:val="00B536FE"/>
    <w:rsid w:val="00C53E8A"/>
    <w:rsid w:val="00CF2348"/>
    <w:rsid w:val="00DB41FF"/>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cp:lastPrinted>2017-06-14T06:53:00Z</cp:lastPrinted>
  <dcterms:created xsi:type="dcterms:W3CDTF">2017-06-14T02:10:00Z</dcterms:created>
  <dcterms:modified xsi:type="dcterms:W3CDTF">2017-06-14T06:53:00Z</dcterms:modified>
</cp:coreProperties>
</file>