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FA3C72"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16092" w:type="dxa"/>
        <w:tblLook w:val="04A0" w:firstRow="1" w:lastRow="0" w:firstColumn="1" w:lastColumn="0" w:noHBand="0" w:noVBand="1"/>
      </w:tblPr>
      <w:tblGrid>
        <w:gridCol w:w="8046"/>
        <w:gridCol w:w="8046"/>
      </w:tblGrid>
      <w:tr w:rsidR="00FA3C72" w:rsidTr="00095C71">
        <w:trPr>
          <w:trHeight w:val="1247"/>
        </w:trPr>
        <w:tc>
          <w:tcPr>
            <w:tcW w:w="8046" w:type="dxa"/>
            <w:vAlign w:val="bottom"/>
          </w:tcPr>
          <w:p w:rsidR="00FA3C72" w:rsidRPr="00161AA0" w:rsidRDefault="00FA3C72" w:rsidP="0003012D">
            <w:pPr>
              <w:pStyle w:val="DHHSmainheading"/>
            </w:pPr>
            <w:r>
              <w:lastRenderedPageBreak/>
              <w:t>Insure It. It’s Worth It.</w:t>
            </w:r>
          </w:p>
        </w:tc>
        <w:tc>
          <w:tcPr>
            <w:tcW w:w="8046" w:type="dxa"/>
            <w:shd w:val="clear" w:color="auto" w:fill="auto"/>
            <w:vAlign w:val="bottom"/>
          </w:tcPr>
          <w:p w:rsidR="00FA3C72" w:rsidRPr="00161AA0" w:rsidRDefault="00FA3C72" w:rsidP="00A91406">
            <w:pPr>
              <w:pStyle w:val="DHHSmainheading"/>
            </w:pPr>
          </w:p>
        </w:tc>
      </w:tr>
      <w:tr w:rsidR="00FA3C72" w:rsidTr="00FA3C72">
        <w:trPr>
          <w:trHeight w:hRule="exact" w:val="905"/>
        </w:trPr>
        <w:tc>
          <w:tcPr>
            <w:tcW w:w="8046" w:type="dxa"/>
          </w:tcPr>
          <w:p w:rsidR="00FA3C72" w:rsidRDefault="00116863" w:rsidP="0003012D">
            <w:pPr>
              <w:pStyle w:val="DHHSmainsubheading"/>
              <w:rPr>
                <w:szCs w:val="28"/>
              </w:rPr>
            </w:pPr>
            <w:r>
              <w:rPr>
                <w:szCs w:val="28"/>
              </w:rPr>
              <w:t>S</w:t>
            </w:r>
            <w:r w:rsidR="00FA3C72">
              <w:rPr>
                <w:szCs w:val="28"/>
              </w:rPr>
              <w:t>takeholders</w:t>
            </w:r>
            <w:r>
              <w:rPr>
                <w:szCs w:val="28"/>
              </w:rPr>
              <w:t xml:space="preserve"> toolkit</w:t>
            </w:r>
          </w:p>
          <w:p w:rsidR="00FA3C72" w:rsidRPr="00AD784C" w:rsidRDefault="00FA3C72" w:rsidP="0003012D">
            <w:pPr>
              <w:pStyle w:val="DHHSmainsubheading"/>
              <w:rPr>
                <w:szCs w:val="28"/>
              </w:rPr>
            </w:pPr>
          </w:p>
        </w:tc>
        <w:tc>
          <w:tcPr>
            <w:tcW w:w="8046" w:type="dxa"/>
            <w:shd w:val="clear" w:color="auto" w:fill="auto"/>
            <w:tcMar>
              <w:top w:w="170" w:type="dxa"/>
              <w:bottom w:w="510" w:type="dxa"/>
            </w:tcMar>
          </w:tcPr>
          <w:p w:rsidR="00FA3C72" w:rsidRPr="00AD784C" w:rsidRDefault="00FA3C72" w:rsidP="00357B4E">
            <w:pPr>
              <w:pStyle w:val="DHHSmainsubheading"/>
              <w:rPr>
                <w:szCs w:val="28"/>
              </w:rPr>
            </w:pPr>
          </w:p>
        </w:tc>
      </w:tr>
    </w:tbl>
    <w:p w:rsidR="00116863" w:rsidRPr="00DA6C16" w:rsidRDefault="00116863" w:rsidP="00DA6C16">
      <w:pPr>
        <w:pStyle w:val="DHHSbody"/>
      </w:pPr>
      <w:r w:rsidRPr="00DA6C16">
        <w:t>The Department of Health and Human Services</w:t>
      </w:r>
      <w:r w:rsidR="00EC4B6A">
        <w:t>,</w:t>
      </w:r>
      <w:r w:rsidRPr="00DA6C16">
        <w:t xml:space="preserve"> </w:t>
      </w:r>
      <w:r w:rsidR="00DA6C16" w:rsidRPr="00DA6C16">
        <w:t>in partnership with</w:t>
      </w:r>
      <w:r w:rsidR="00DA6C16">
        <w:t xml:space="preserve"> </w:t>
      </w:r>
      <w:r w:rsidR="00DA6C16" w:rsidRPr="00DA6C16">
        <w:t>Good Shepherd Microfinance, has developed the Victorian ‘In</w:t>
      </w:r>
      <w:r w:rsidR="00EC4B6A">
        <w:t>sure it. It’s worth it’ toolkit</w:t>
      </w:r>
      <w:r w:rsidR="00DA6C16" w:rsidRPr="00DA6C16">
        <w:t xml:space="preserve"> to provide practical information and advice about the importance of home and contents insurance for people living in disaster prone areas. </w:t>
      </w:r>
    </w:p>
    <w:p w:rsidR="00FA3C72" w:rsidRPr="004B0A77" w:rsidRDefault="00FA3C72" w:rsidP="00FA3C72">
      <w:pPr>
        <w:spacing w:after="120" w:line="270" w:lineRule="atLeast"/>
        <w:rPr>
          <w:rFonts w:ascii="Arial" w:eastAsia="Times" w:hAnsi="Arial"/>
        </w:rPr>
      </w:pPr>
      <w:r w:rsidRPr="004B0A77">
        <w:rPr>
          <w:rFonts w:ascii="Arial" w:eastAsia="Times" w:hAnsi="Arial"/>
        </w:rPr>
        <w:t xml:space="preserve">This pack includes the following tools that can be used </w:t>
      </w:r>
      <w:r w:rsidR="00116863">
        <w:rPr>
          <w:rFonts w:ascii="Arial" w:eastAsia="Times" w:hAnsi="Arial"/>
        </w:rPr>
        <w:t>to help promote</w:t>
      </w:r>
      <w:r>
        <w:rPr>
          <w:rFonts w:ascii="Arial" w:eastAsia="Times" w:hAnsi="Arial"/>
        </w:rPr>
        <w:t xml:space="preserve"> the </w:t>
      </w:r>
      <w:hyperlink r:id="rId10" w:history="1">
        <w:r w:rsidRPr="00CE1B0E">
          <w:rPr>
            <w:rStyle w:val="Hyperlink"/>
            <w:rFonts w:ascii="Arial" w:eastAsia="Times" w:hAnsi="Arial"/>
            <w:i/>
          </w:rPr>
          <w:t>Insure It. It’s Worth It</w:t>
        </w:r>
      </w:hyperlink>
      <w:r w:rsidR="00116863">
        <w:rPr>
          <w:rFonts w:ascii="Arial" w:eastAsia="Times" w:hAnsi="Arial"/>
        </w:rPr>
        <w:t xml:space="preserve">: </w:t>
      </w:r>
    </w:p>
    <w:p w:rsidR="00FA3C72" w:rsidRPr="004B0A77" w:rsidRDefault="00FA3C72" w:rsidP="00FA3C72">
      <w:pPr>
        <w:numPr>
          <w:ilvl w:val="0"/>
          <w:numId w:val="9"/>
        </w:numPr>
        <w:spacing w:after="40" w:line="270" w:lineRule="atLeast"/>
        <w:rPr>
          <w:rFonts w:ascii="Arial" w:eastAsia="Times" w:hAnsi="Arial"/>
        </w:rPr>
      </w:pPr>
      <w:r w:rsidRPr="004B0A77">
        <w:rPr>
          <w:rFonts w:ascii="Arial" w:eastAsia="Times" w:hAnsi="Arial"/>
        </w:rPr>
        <w:t>Sample news articles for print or online</w:t>
      </w:r>
    </w:p>
    <w:p w:rsidR="00FA3C72" w:rsidRDefault="00FA3C72" w:rsidP="00FA3C72">
      <w:pPr>
        <w:numPr>
          <w:ilvl w:val="0"/>
          <w:numId w:val="9"/>
        </w:numPr>
        <w:spacing w:after="40" w:line="270" w:lineRule="atLeast"/>
        <w:rPr>
          <w:rFonts w:ascii="Arial" w:eastAsia="Times" w:hAnsi="Arial"/>
        </w:rPr>
      </w:pPr>
      <w:r w:rsidRPr="004B0A77">
        <w:rPr>
          <w:rFonts w:ascii="Arial" w:eastAsia="Times" w:hAnsi="Arial"/>
        </w:rPr>
        <w:t xml:space="preserve">Sample social media posts. </w:t>
      </w:r>
    </w:p>
    <w:p w:rsidR="00FA3C72" w:rsidRPr="00A55D3B" w:rsidRDefault="00A55D3B" w:rsidP="00A55D3B">
      <w:pPr>
        <w:pStyle w:val="DHHSbody"/>
        <w:rPr>
          <w:rStyle w:val="Heading2Char"/>
        </w:rPr>
      </w:pPr>
      <w:r>
        <w:br/>
      </w:r>
      <w:r w:rsidR="00FA3C72" w:rsidRPr="00A55D3B">
        <w:rPr>
          <w:rStyle w:val="Heading2Char"/>
        </w:rPr>
        <w:t>Tips for promoting the message</w:t>
      </w:r>
    </w:p>
    <w:p w:rsidR="00FA3C72" w:rsidRPr="004B0A77" w:rsidRDefault="00FA3C72" w:rsidP="00FA3C72">
      <w:pPr>
        <w:keepNext/>
        <w:keepLines/>
        <w:spacing w:before="280" w:after="120" w:line="280" w:lineRule="atLeast"/>
        <w:outlineLvl w:val="2"/>
        <w:rPr>
          <w:rFonts w:ascii="Arial" w:eastAsia="MS Gothic" w:hAnsi="Arial"/>
          <w:b/>
          <w:bCs/>
          <w:sz w:val="24"/>
          <w:szCs w:val="26"/>
        </w:rPr>
      </w:pPr>
      <w:r w:rsidRPr="004B0A77">
        <w:rPr>
          <w:rFonts w:ascii="Arial" w:eastAsia="MS Gothic" w:hAnsi="Arial"/>
          <w:b/>
          <w:bCs/>
          <w:sz w:val="24"/>
          <w:szCs w:val="26"/>
        </w:rPr>
        <w:t>Localise your message</w:t>
      </w:r>
    </w:p>
    <w:p w:rsidR="00FA3C72" w:rsidRPr="004B0A77" w:rsidRDefault="00FA3C72" w:rsidP="00FA3C72">
      <w:pPr>
        <w:spacing w:after="120" w:line="270" w:lineRule="atLeast"/>
        <w:rPr>
          <w:rFonts w:ascii="Arial" w:eastAsia="Times" w:hAnsi="Arial"/>
        </w:rPr>
      </w:pPr>
      <w:r w:rsidRPr="004B0A77">
        <w:rPr>
          <w:rFonts w:ascii="Arial" w:eastAsia="Times" w:hAnsi="Arial"/>
        </w:rPr>
        <w:t>Use your local knowledge to make your messages m</w:t>
      </w:r>
      <w:r>
        <w:rPr>
          <w:rFonts w:ascii="Arial" w:eastAsia="Times" w:hAnsi="Arial"/>
        </w:rPr>
        <w:t xml:space="preserve">ore meaningful to your audience (for example, explaining local risks like bushfire ratings to reiterate the importance of insurance in your area). </w:t>
      </w:r>
    </w:p>
    <w:p w:rsidR="00FA3C72" w:rsidRPr="004B0A77" w:rsidRDefault="00FA3C72" w:rsidP="00FA3C72">
      <w:pPr>
        <w:keepNext/>
        <w:keepLines/>
        <w:spacing w:before="280" w:after="120" w:line="280" w:lineRule="atLeast"/>
        <w:outlineLvl w:val="2"/>
        <w:rPr>
          <w:rFonts w:ascii="Arial" w:eastAsia="MS Gothic" w:hAnsi="Arial"/>
          <w:b/>
          <w:bCs/>
          <w:sz w:val="24"/>
          <w:szCs w:val="26"/>
        </w:rPr>
      </w:pPr>
      <w:r w:rsidRPr="004B0A77">
        <w:rPr>
          <w:rFonts w:ascii="Arial" w:eastAsia="MS Gothic" w:hAnsi="Arial"/>
          <w:b/>
          <w:bCs/>
          <w:sz w:val="24"/>
          <w:szCs w:val="26"/>
        </w:rPr>
        <w:t xml:space="preserve">Find out </w:t>
      </w:r>
      <w:r>
        <w:rPr>
          <w:rFonts w:ascii="Arial" w:eastAsia="MS Gothic" w:hAnsi="Arial"/>
          <w:b/>
          <w:bCs/>
          <w:sz w:val="24"/>
          <w:szCs w:val="26"/>
        </w:rPr>
        <w:t>who can help spread the message in your community</w:t>
      </w:r>
    </w:p>
    <w:p w:rsidR="00FA3C72" w:rsidRPr="004B0A77" w:rsidRDefault="00FA3C72" w:rsidP="00FA3C72">
      <w:pPr>
        <w:spacing w:after="120" w:line="270" w:lineRule="atLeast"/>
        <w:rPr>
          <w:rFonts w:ascii="Arial" w:eastAsia="Times" w:hAnsi="Arial"/>
        </w:rPr>
      </w:pPr>
      <w:r>
        <w:rPr>
          <w:rFonts w:ascii="Arial" w:eastAsia="Times" w:hAnsi="Arial"/>
        </w:rPr>
        <w:t xml:space="preserve">Get to know  who in your community can help spread the message about the importance of insurance. There may be community groups or leaders that work with financially vulnerable people that would be interested in having copies of the </w:t>
      </w:r>
      <w:hyperlink r:id="rId11" w:history="1">
        <w:r w:rsidR="00A27DDD">
          <w:rPr>
            <w:rStyle w:val="Hyperlink"/>
            <w:rFonts w:ascii="Arial" w:eastAsia="Times" w:hAnsi="Arial"/>
            <w:i/>
          </w:rPr>
          <w:t>Insure It.</w:t>
        </w:r>
        <w:r w:rsidRPr="00CE1B0E">
          <w:rPr>
            <w:rStyle w:val="Hyperlink"/>
            <w:rFonts w:ascii="Arial" w:eastAsia="Times" w:hAnsi="Arial"/>
            <w:i/>
          </w:rPr>
          <w:t xml:space="preserve"> It’s Worth It</w:t>
        </w:r>
      </w:hyperlink>
      <w:r w:rsidRPr="00CE1B0E">
        <w:rPr>
          <w:rFonts w:ascii="Arial" w:eastAsia="Times" w:hAnsi="Arial"/>
          <w:i/>
        </w:rPr>
        <w:t xml:space="preserve"> </w:t>
      </w:r>
      <w:r>
        <w:rPr>
          <w:rFonts w:ascii="Arial" w:eastAsia="Times" w:hAnsi="Arial"/>
        </w:rPr>
        <w:t xml:space="preserve">toolkit on hand. </w:t>
      </w:r>
    </w:p>
    <w:p w:rsidR="00FA3C72" w:rsidRPr="004B0A77" w:rsidRDefault="00FA3C72" w:rsidP="00FA3C72">
      <w:pPr>
        <w:keepNext/>
        <w:keepLines/>
        <w:spacing w:before="280" w:after="120" w:line="280" w:lineRule="atLeast"/>
        <w:outlineLvl w:val="2"/>
        <w:rPr>
          <w:rFonts w:ascii="Arial" w:eastAsia="MS Gothic" w:hAnsi="Arial"/>
          <w:b/>
          <w:bCs/>
          <w:sz w:val="24"/>
          <w:szCs w:val="26"/>
        </w:rPr>
      </w:pPr>
      <w:r>
        <w:rPr>
          <w:rFonts w:ascii="Arial" w:eastAsia="MS Gothic" w:hAnsi="Arial"/>
          <w:b/>
          <w:bCs/>
          <w:sz w:val="24"/>
          <w:szCs w:val="26"/>
        </w:rPr>
        <w:t>Time the release</w:t>
      </w:r>
      <w:r w:rsidR="00116863">
        <w:rPr>
          <w:rFonts w:ascii="Arial" w:eastAsia="MS Gothic" w:hAnsi="Arial"/>
          <w:b/>
          <w:bCs/>
          <w:sz w:val="24"/>
          <w:szCs w:val="26"/>
        </w:rPr>
        <w:t xml:space="preserve"> and </w:t>
      </w:r>
      <w:r>
        <w:rPr>
          <w:rFonts w:ascii="Arial" w:eastAsia="MS Gothic" w:hAnsi="Arial"/>
          <w:b/>
          <w:bCs/>
          <w:sz w:val="24"/>
          <w:szCs w:val="26"/>
        </w:rPr>
        <w:t>promotion of insurance messages</w:t>
      </w:r>
    </w:p>
    <w:p w:rsidR="00FA3C72" w:rsidRDefault="00FA3C72" w:rsidP="00FA3C72">
      <w:pPr>
        <w:spacing w:after="120" w:line="270" w:lineRule="atLeast"/>
        <w:rPr>
          <w:rFonts w:ascii="Arial" w:eastAsia="Times" w:hAnsi="Arial"/>
        </w:rPr>
      </w:pPr>
      <w:r w:rsidRPr="004B0A77">
        <w:rPr>
          <w:rFonts w:ascii="Arial" w:eastAsia="Times" w:hAnsi="Arial"/>
        </w:rPr>
        <w:t xml:space="preserve">Consider what events are planned </w:t>
      </w:r>
      <w:r>
        <w:rPr>
          <w:rFonts w:ascii="Arial" w:eastAsia="Times" w:hAnsi="Arial"/>
        </w:rPr>
        <w:t xml:space="preserve">in your community </w:t>
      </w:r>
      <w:r w:rsidRPr="004B0A77">
        <w:rPr>
          <w:rFonts w:ascii="Arial" w:eastAsia="Times" w:hAnsi="Arial"/>
        </w:rPr>
        <w:t xml:space="preserve">and plan the distribution of your messages to coincide with them. For example, if an </w:t>
      </w:r>
      <w:r>
        <w:rPr>
          <w:rFonts w:ascii="Arial" w:eastAsia="Times" w:hAnsi="Arial"/>
        </w:rPr>
        <w:t xml:space="preserve">event is planned in your community that is focused on preparation for emergencies, consider promoting and having copies of the </w:t>
      </w:r>
      <w:hyperlink r:id="rId12" w:history="1">
        <w:r w:rsidR="00A27DDD">
          <w:rPr>
            <w:rStyle w:val="Hyperlink"/>
            <w:rFonts w:ascii="Arial" w:eastAsia="Times" w:hAnsi="Arial"/>
            <w:i/>
          </w:rPr>
          <w:t>Insure It.</w:t>
        </w:r>
        <w:r w:rsidRPr="00CE1B0E">
          <w:rPr>
            <w:rStyle w:val="Hyperlink"/>
            <w:rFonts w:ascii="Arial" w:eastAsia="Times" w:hAnsi="Arial"/>
            <w:i/>
          </w:rPr>
          <w:t xml:space="preserve"> It’s Worth It</w:t>
        </w:r>
      </w:hyperlink>
      <w:r>
        <w:rPr>
          <w:rFonts w:ascii="Arial" w:eastAsia="Times" w:hAnsi="Arial"/>
        </w:rPr>
        <w:t xml:space="preserve"> toolkit on hand. </w:t>
      </w:r>
    </w:p>
    <w:p w:rsidR="00FA3C72" w:rsidRPr="004B0A77" w:rsidRDefault="00FA3C72" w:rsidP="00FA3C72">
      <w:pPr>
        <w:spacing w:after="120" w:line="270" w:lineRule="atLeast"/>
        <w:rPr>
          <w:rFonts w:ascii="Arial" w:eastAsia="Times" w:hAnsi="Arial"/>
        </w:rPr>
      </w:pPr>
      <w:r>
        <w:rPr>
          <w:rFonts w:ascii="Arial" w:eastAsia="Times" w:hAnsi="Arial"/>
        </w:rPr>
        <w:t xml:space="preserve">Conversely, if there are existing emergencies in your community (such as fires, floods, or recent storms) you should consider rescheduling your messages about insurance to another time. </w:t>
      </w:r>
      <w:bookmarkStart w:id="0" w:name="_GoBack"/>
      <w:bookmarkEnd w:id="0"/>
    </w:p>
    <w:p w:rsidR="00FA3C72" w:rsidRPr="004B0A77" w:rsidRDefault="00FA3C72" w:rsidP="00FA3C72">
      <w:pPr>
        <w:keepNext/>
        <w:keepLines/>
        <w:spacing w:before="280" w:after="120" w:line="280" w:lineRule="atLeast"/>
        <w:outlineLvl w:val="2"/>
        <w:rPr>
          <w:rFonts w:ascii="Arial" w:eastAsia="MS Gothic" w:hAnsi="Arial"/>
          <w:b/>
          <w:bCs/>
          <w:sz w:val="24"/>
          <w:szCs w:val="26"/>
        </w:rPr>
      </w:pPr>
      <w:r w:rsidRPr="004B0A77">
        <w:rPr>
          <w:rFonts w:ascii="Arial" w:eastAsia="MS Gothic" w:hAnsi="Arial"/>
          <w:b/>
          <w:bCs/>
          <w:sz w:val="24"/>
          <w:szCs w:val="26"/>
        </w:rPr>
        <w:t>Consider your channels</w:t>
      </w:r>
    </w:p>
    <w:p w:rsidR="00FA3C72" w:rsidRDefault="00FA3C72" w:rsidP="00FA3C72">
      <w:pPr>
        <w:spacing w:after="40" w:line="270" w:lineRule="atLeast"/>
        <w:rPr>
          <w:rFonts w:ascii="Arial" w:eastAsia="Times" w:hAnsi="Arial"/>
        </w:rPr>
      </w:pPr>
      <w:r w:rsidRPr="004B0A77">
        <w:rPr>
          <w:rFonts w:ascii="Arial" w:eastAsia="Times" w:hAnsi="Arial"/>
        </w:rPr>
        <w:t xml:space="preserve">Think about targeting groups that are vulnerable, particularly </w:t>
      </w:r>
      <w:r w:rsidR="00116863">
        <w:rPr>
          <w:rFonts w:ascii="Arial" w:eastAsia="Times" w:hAnsi="Arial"/>
        </w:rPr>
        <w:t>culturally and linguistically diverse</w:t>
      </w:r>
      <w:r w:rsidRPr="004B0A77">
        <w:rPr>
          <w:rFonts w:ascii="Arial" w:eastAsia="Times" w:hAnsi="Arial"/>
        </w:rPr>
        <w:t xml:space="preserve"> communities. For example, if you have a </w:t>
      </w:r>
      <w:r>
        <w:rPr>
          <w:rFonts w:ascii="Arial" w:eastAsia="Times" w:hAnsi="Arial"/>
        </w:rPr>
        <w:t xml:space="preserve">large </w:t>
      </w:r>
      <w:r w:rsidRPr="004B0A77">
        <w:rPr>
          <w:rFonts w:ascii="Arial" w:eastAsia="Times" w:hAnsi="Arial"/>
        </w:rPr>
        <w:t>Chinese speaking population, get materials translated and included into Chinese publications.</w:t>
      </w:r>
      <w:r w:rsidR="00116863">
        <w:rPr>
          <w:rFonts w:ascii="Arial" w:eastAsia="Times" w:hAnsi="Arial"/>
        </w:rPr>
        <w:t xml:space="preserve"> </w:t>
      </w:r>
      <w:r w:rsidR="00A27DDD">
        <w:rPr>
          <w:rFonts w:ascii="Arial" w:eastAsia="Times" w:hAnsi="Arial"/>
        </w:rPr>
        <w:t>Don’t hesitate to repeat</w:t>
      </w:r>
      <w:r w:rsidRPr="004B0A77">
        <w:rPr>
          <w:rFonts w:ascii="Arial" w:eastAsia="Times" w:hAnsi="Arial"/>
        </w:rPr>
        <w:t xml:space="preserve"> messages.  The best messages are simple and repeated again and again. The average number of times a person needs to hear a message in order to recall it is 3-5 times. So say it, and then say it again.</w:t>
      </w:r>
    </w:p>
    <w:p w:rsidR="00A55D3B" w:rsidRPr="0083158D" w:rsidRDefault="00A55D3B" w:rsidP="00A55D3B">
      <w:pPr>
        <w:pStyle w:val="DHHSbody"/>
      </w:pPr>
      <w:r w:rsidRPr="00517CC0">
        <w:t>The</w:t>
      </w:r>
      <w:r>
        <w:t xml:space="preserve"> toolkit</w:t>
      </w:r>
      <w:r w:rsidRPr="00517CC0">
        <w:t xml:space="preserve"> can be </w:t>
      </w:r>
      <w:r>
        <w:t xml:space="preserve">downloaded or </w:t>
      </w:r>
      <w:r w:rsidRPr="00517CC0">
        <w:t>ordered at no cost from</w:t>
      </w:r>
      <w:r>
        <w:t>:</w:t>
      </w:r>
      <w:r w:rsidRPr="00517CC0">
        <w:t xml:space="preserve"> </w:t>
      </w:r>
      <w:hyperlink r:id="rId13" w:history="1">
        <w:r w:rsidRPr="00960966">
          <w:rPr>
            <w:rStyle w:val="Hyperlink"/>
          </w:rPr>
          <w:t>http://goodshepherdmicrofinance.org.au/researchreports/insurance-toolkit/</w:t>
        </w:r>
      </w:hyperlink>
      <w:r>
        <w:t xml:space="preserve"> </w:t>
      </w:r>
      <w:r>
        <w:br/>
      </w:r>
    </w:p>
    <w:p w:rsidR="00FA3C72" w:rsidRPr="004C6EEE" w:rsidRDefault="00FA3C72" w:rsidP="00FA3C72">
      <w:pPr>
        <w:pStyle w:val="DHHSbody"/>
        <w:sectPr w:rsidR="00FA3C72" w:rsidRPr="004C6EEE" w:rsidSect="009C6601">
          <w:footerReference w:type="default" r:id="rId14"/>
          <w:type w:val="continuous"/>
          <w:pgSz w:w="11906" w:h="16838" w:code="9"/>
          <w:pgMar w:top="567" w:right="851" w:bottom="2552" w:left="851" w:header="510" w:footer="510" w:gutter="0"/>
          <w:cols w:space="708"/>
          <w:docGrid w:linePitch="360"/>
        </w:sectPr>
      </w:pPr>
      <w:r>
        <w:t xml:space="preserve">Thank you for supporting the distribution of this important message. </w:t>
      </w:r>
    </w:p>
    <w:p w:rsidR="00FA3C72" w:rsidRDefault="00FA3C72" w:rsidP="00FA3C72">
      <w:pPr>
        <w:pStyle w:val="DHHSbody"/>
        <w:ind w:left="142"/>
      </w:pPr>
      <w:r w:rsidRPr="003D4543">
        <w:rPr>
          <w:b/>
        </w:rPr>
        <w:lastRenderedPageBreak/>
        <w:t>Emergency Management Branch</w:t>
      </w:r>
      <w:r w:rsidRPr="003D4543">
        <w:rPr>
          <w:b/>
        </w:rPr>
        <w:br/>
      </w:r>
      <w:r>
        <w:t>Department of Health and Human Services</w:t>
      </w:r>
      <w:r>
        <w:br/>
        <w:t xml:space="preserve">Email: </w:t>
      </w:r>
      <w:hyperlink r:id="rId15" w:history="1">
        <w:r w:rsidRPr="00960966">
          <w:rPr>
            <w:rStyle w:val="Hyperlink"/>
          </w:rPr>
          <w:t>em.comms@dhhs.vic.gov.au</w:t>
        </w:r>
      </w:hyperlink>
      <w:r>
        <w:t xml:space="preserve">  </w:t>
      </w:r>
    </w:p>
    <w:sectPr w:rsidR="00FA3C72" w:rsidSect="00116863">
      <w:headerReference w:type="default" r:id="rId16"/>
      <w:footerReference w:type="default" r:id="rId17"/>
      <w:type w:val="continuous"/>
      <w:pgSz w:w="11906" w:h="16838" w:code="9"/>
      <w:pgMar w:top="1418" w:right="851" w:bottom="0"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72" w:rsidRDefault="00FA3C72">
      <w:r>
        <w:separator/>
      </w:r>
    </w:p>
  </w:endnote>
  <w:endnote w:type="continuationSeparator" w:id="0">
    <w:p w:rsidR="00FA3C72" w:rsidRDefault="00FA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FA3C7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72" w:rsidRDefault="00FA3C72" w:rsidP="00DF29F6">
    <w:pPr>
      <w:pStyle w:val="DHHSfooter"/>
    </w:pPr>
    <w:r>
      <w:t>Survive the Heat: Information pack for local government</w:t>
    </w:r>
    <w:r>
      <w:tab/>
    </w:r>
    <w:r>
      <w:fldChar w:fldCharType="begin"/>
    </w:r>
    <w:r>
      <w:instrText xml:space="preserve"> PAGE </w:instrText>
    </w:r>
    <w:r>
      <w:fldChar w:fldCharType="separate"/>
    </w:r>
    <w:r>
      <w:rPr>
        <w:noProof/>
      </w:rPr>
      <w:t>2</w:t>
    </w:r>
    <w:r>
      <w:fldChar w:fldCharType="end"/>
    </w:r>
  </w:p>
  <w:p w:rsidR="00FA3C72" w:rsidRPr="00F65AA9" w:rsidRDefault="00FA3C72" w:rsidP="0051568D">
    <w:pPr>
      <w:pStyle w:val="DHHS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116863">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72" w:rsidRDefault="00FA3C72" w:rsidP="002862F1">
      <w:pPr>
        <w:spacing w:before="120"/>
      </w:pPr>
      <w:r>
        <w:separator/>
      </w:r>
    </w:p>
  </w:footnote>
  <w:footnote w:type="continuationSeparator" w:id="0">
    <w:p w:rsidR="00FA3C72" w:rsidRDefault="00FA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6FD76A3E"/>
    <w:multiLevelType w:val="hybridMultilevel"/>
    <w:tmpl w:val="4FA84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2"/>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1686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7DDD"/>
    <w:rsid w:val="00A44882"/>
    <w:rsid w:val="00A54715"/>
    <w:rsid w:val="00A55D3B"/>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A6C16"/>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C4B6A"/>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3C72"/>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FA3C72"/>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FA3C72"/>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odshepherdmicrofinance.org.au/researchreports/insurance-toolk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dshepherdmicrofinance.org.au/researchreports/insurance-toolki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dshepherdmicrofinance.org.au/researchreports/insurance-toolkit/" TargetMode="External"/><Relationship Id="rId5" Type="http://schemas.openxmlformats.org/officeDocument/2006/relationships/webSettings" Target="webSettings.xml"/><Relationship Id="rId15" Type="http://schemas.openxmlformats.org/officeDocument/2006/relationships/hyperlink" Target="mailto:em.comms@dhhs.vic.gov.au" TargetMode="External"/><Relationship Id="rId10" Type="http://schemas.openxmlformats.org/officeDocument/2006/relationships/hyperlink" Target="http://goodshepherdmicrofinance.org.au/researchreports/insurance-toolk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0</TotalTime>
  <Pages>1</Pages>
  <Words>373</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2853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J Raiti (DHHS)</dc:creator>
  <cp:lastModifiedBy>Sheridan J Raiti (DHHS)</cp:lastModifiedBy>
  <cp:revision>2</cp:revision>
  <cp:lastPrinted>2015-08-21T03:17:00Z</cp:lastPrinted>
  <dcterms:created xsi:type="dcterms:W3CDTF">2018-10-12T03:31:00Z</dcterms:created>
  <dcterms:modified xsi:type="dcterms:W3CDTF">2018-10-12T03:31:00Z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