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AA28A" w14:textId="77777777" w:rsidR="0074696E" w:rsidRPr="004C6EEE" w:rsidRDefault="00E93A57" w:rsidP="00EC40D5">
      <w:pPr>
        <w:pStyle w:val="Sectionbreakfirstpage"/>
      </w:pPr>
      <w:bookmarkStart w:id="0" w:name="_GoBack"/>
      <w:bookmarkEnd w:id="0"/>
      <w:r>
        <w:rPr>
          <w:lang w:val="en-US" w:eastAsia="zh-CN"/>
        </w:rPr>
        <w:drawing>
          <wp:anchor distT="0" distB="0" distL="114300" distR="114300" simplePos="0" relativeHeight="251658240" behindDoc="1" locked="1" layoutInCell="1" allowOverlap="1" wp14:anchorId="1F4B876D" wp14:editId="2F9712BA">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022007" name="Pictur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9CA7C7E"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4254F4" w14:paraId="53389B9E" w14:textId="77777777" w:rsidTr="00B07FF7">
        <w:trPr>
          <w:trHeight w:val="622"/>
        </w:trPr>
        <w:tc>
          <w:tcPr>
            <w:tcW w:w="10348" w:type="dxa"/>
            <w:tcMar>
              <w:top w:w="1531" w:type="dxa"/>
              <w:left w:w="0" w:type="dxa"/>
              <w:right w:w="0" w:type="dxa"/>
            </w:tcMar>
          </w:tcPr>
          <w:p w14:paraId="6816F16C" w14:textId="77777777" w:rsidR="003B5733" w:rsidRPr="003B5733" w:rsidRDefault="00E93A57" w:rsidP="003B5733">
            <w:pPr>
              <w:pStyle w:val="Documenttitle"/>
            </w:pPr>
            <w:r>
              <w:rPr>
                <w:lang w:val="id"/>
              </w:rPr>
              <w:lastRenderedPageBreak/>
              <w:t>Cacar monyet (</w:t>
            </w:r>
            <w:r w:rsidRPr="00AD07D0">
              <w:rPr>
                <w:i/>
                <w:iCs/>
                <w:lang w:val="id"/>
              </w:rPr>
              <w:t>monkeypox</w:t>
            </w:r>
            <w:r>
              <w:rPr>
                <w:lang w:val="id"/>
              </w:rPr>
              <w:t>)</w:t>
            </w:r>
          </w:p>
        </w:tc>
      </w:tr>
      <w:tr w:rsidR="004254F4" w14:paraId="2B9604B4" w14:textId="77777777" w:rsidTr="00B07FF7">
        <w:tc>
          <w:tcPr>
            <w:tcW w:w="10348" w:type="dxa"/>
          </w:tcPr>
          <w:p w14:paraId="3DB6DF01" w14:textId="77777777" w:rsidR="003B5733" w:rsidRPr="00A1389F" w:rsidRDefault="00E93A57" w:rsidP="005F44C0">
            <w:pPr>
              <w:pStyle w:val="Documentsubtitle"/>
            </w:pPr>
            <w:r>
              <w:rPr>
                <w:lang w:val="id"/>
              </w:rPr>
              <w:t>Lembar fakta bagi konsumen</w:t>
            </w:r>
          </w:p>
        </w:tc>
      </w:tr>
      <w:tr w:rsidR="004254F4" w14:paraId="386E2FAC" w14:textId="77777777" w:rsidTr="00B07FF7">
        <w:tc>
          <w:tcPr>
            <w:tcW w:w="10348" w:type="dxa"/>
          </w:tcPr>
          <w:p w14:paraId="353F30FA" w14:textId="77777777" w:rsidR="003B5733" w:rsidRDefault="001A521B" w:rsidP="001E5058">
            <w:pPr>
              <w:pStyle w:val="Bannermarking"/>
            </w:pPr>
            <w:r>
              <w:fldChar w:fldCharType="begin"/>
            </w:r>
            <w:r>
              <w:instrText>FILLIN  "Type the protective marking" \d OFFICIAL \o  \* MERGEFORMAT</w:instrText>
            </w:r>
            <w:r>
              <w:fldChar w:fldCharType="separate"/>
            </w:r>
            <w:r w:rsidR="003F30C3">
              <w:t>OFFICIAL</w:t>
            </w:r>
            <w:r>
              <w:fldChar w:fldCharType="end"/>
            </w:r>
          </w:p>
          <w:p w14:paraId="5446BA84" w14:textId="6629F652" w:rsidR="008D1729" w:rsidRPr="007C3510" w:rsidRDefault="007C3510" w:rsidP="001E5058">
            <w:pPr>
              <w:pStyle w:val="Bannermarking"/>
              <w:rPr>
                <w:b w:val="0"/>
                <w:bCs w:val="0"/>
              </w:rPr>
            </w:pPr>
            <w:r w:rsidRPr="007C3510">
              <w:rPr>
                <w:b w:val="0"/>
                <w:bCs w:val="0"/>
              </w:rPr>
              <w:t xml:space="preserve">Indonesian | </w:t>
            </w:r>
            <w:r w:rsidR="00AD07D0" w:rsidRPr="00AD07D0">
              <w:rPr>
                <w:b w:val="0"/>
                <w:bCs w:val="0"/>
              </w:rPr>
              <w:t>Bahasa Indonesia</w:t>
            </w:r>
          </w:p>
        </w:tc>
      </w:tr>
    </w:tbl>
    <w:p w14:paraId="7627AB87" w14:textId="77777777" w:rsidR="00C51F0A" w:rsidRPr="00B57329" w:rsidRDefault="00E93A57" w:rsidP="76CA397E">
      <w:pPr>
        <w:pStyle w:val="Heading1"/>
      </w:pPr>
      <w:bookmarkStart w:id="1" w:name="_Toc104371283"/>
      <w:bookmarkStart w:id="2" w:name="_Hlk63948051"/>
      <w:r>
        <w:rPr>
          <w:lang w:val="id"/>
        </w:rPr>
        <w:t>Apakah cacar monyet (</w:t>
      </w:r>
      <w:r w:rsidRPr="00AD07D0">
        <w:rPr>
          <w:i/>
          <w:iCs/>
          <w:lang w:val="id"/>
        </w:rPr>
        <w:t>monkeypox</w:t>
      </w:r>
      <w:r>
        <w:rPr>
          <w:lang w:val="id"/>
        </w:rPr>
        <w:t>) itu?</w:t>
      </w:r>
      <w:bookmarkEnd w:id="1"/>
    </w:p>
    <w:p w14:paraId="6AEC5646" w14:textId="2CA925CE" w:rsidR="76CA397E" w:rsidRPr="00CE659A" w:rsidRDefault="00E93A57" w:rsidP="001B3DC5">
      <w:pPr>
        <w:spacing w:before="100" w:beforeAutospacing="1" w:after="100" w:afterAutospacing="1" w:line="240" w:lineRule="auto"/>
        <w:rPr>
          <w:color w:val="000000" w:themeColor="text1"/>
          <w:szCs w:val="21"/>
          <w:lang w:val="id" w:eastAsia="en-GB"/>
        </w:rPr>
      </w:pPr>
      <w:bookmarkStart w:id="3" w:name="_Toc66711982"/>
      <w:bookmarkEnd w:id="2"/>
      <w:r w:rsidRPr="00CE659A">
        <w:rPr>
          <w:rFonts w:cs="Arial"/>
          <w:color w:val="000000" w:themeColor="text1"/>
          <w:lang w:val="id" w:eastAsia="en-GB"/>
        </w:rPr>
        <w:t xml:space="preserve">Penyakit cacar monyet adalah penyakit </w:t>
      </w:r>
      <w:r w:rsidRPr="00CE659A">
        <w:rPr>
          <w:rFonts w:cs="Arial"/>
          <w:color w:val="000000" w:themeColor="text1"/>
          <w:lang w:eastAsia="en-GB"/>
        </w:rPr>
        <w:t xml:space="preserve">yang </w:t>
      </w:r>
      <w:r w:rsidRPr="00CE659A">
        <w:rPr>
          <w:rFonts w:cs="Arial"/>
          <w:color w:val="000000" w:themeColor="text1"/>
          <w:lang w:val="id" w:eastAsia="en-GB"/>
        </w:rPr>
        <w:t>langka tetapi dapat menjadi serius</w:t>
      </w:r>
      <w:r w:rsidRPr="00CE659A">
        <w:rPr>
          <w:rFonts w:cs="Arial"/>
          <w:color w:val="000000" w:themeColor="text1"/>
          <w:lang w:eastAsia="en-GB"/>
        </w:rPr>
        <w:t>,</w:t>
      </w:r>
      <w:r w:rsidRPr="00CE659A">
        <w:rPr>
          <w:rFonts w:cs="Arial"/>
          <w:color w:val="000000" w:themeColor="text1"/>
          <w:lang w:val="id" w:eastAsia="en-GB"/>
        </w:rPr>
        <w:t xml:space="preserve"> yang disebabkan oleh infeksi virus cacar monyet. Cacar monyet biasanya menyebabkan penyakit ringan yang dikaitkan dengan ruam. </w:t>
      </w:r>
    </w:p>
    <w:p w14:paraId="07B69B91" w14:textId="77777777" w:rsidR="76CA397E" w:rsidRPr="00CE659A" w:rsidRDefault="00E93A57" w:rsidP="76CA397E">
      <w:pPr>
        <w:pStyle w:val="Body"/>
        <w:rPr>
          <w:color w:val="000000" w:themeColor="text1"/>
          <w:szCs w:val="21"/>
          <w:lang w:val="id"/>
        </w:rPr>
      </w:pPr>
      <w:r w:rsidRPr="00CE659A">
        <w:rPr>
          <w:rFonts w:eastAsia="Arial" w:cs="Arial"/>
          <w:color w:val="000000" w:themeColor="text1"/>
          <w:szCs w:val="21"/>
          <w:lang w:val="id"/>
        </w:rPr>
        <w:t>Sejak bulan Mei 2022, ada peningkatan kasus MPX (cacar monyet) secara global, di lebih dari 100 negara. MPX saat ini menyebar di komunitas lokal di wilayah-wilayah di mana biasanya tidak tampak MPX. Wabah saat ini umumnya berdampak pada pria yang berhubungan seks dengan pria.</w:t>
      </w:r>
    </w:p>
    <w:p w14:paraId="037ABEF4" w14:textId="77777777" w:rsidR="00C51F0A" w:rsidRPr="007C3510" w:rsidRDefault="00E93A57" w:rsidP="76CA397E">
      <w:pPr>
        <w:pStyle w:val="Heading1"/>
        <w:spacing w:beforeAutospacing="1" w:afterAutospacing="1" w:line="240" w:lineRule="auto"/>
        <w:rPr>
          <w:rFonts w:eastAsia="Times New Roman" w:cs="Times New Roman"/>
          <w:strike/>
          <w:color w:val="222222"/>
          <w:sz w:val="21"/>
          <w:szCs w:val="21"/>
          <w:lang w:val="es-ES_tradnl" w:eastAsia="en-GB"/>
        </w:rPr>
      </w:pPr>
      <w:bookmarkStart w:id="4" w:name="_Toc104371284"/>
      <w:bookmarkEnd w:id="3"/>
      <w:r>
        <w:rPr>
          <w:lang w:val="id"/>
        </w:rPr>
        <w:t>Cara penularan cacar monyet</w:t>
      </w:r>
      <w:bookmarkEnd w:id="4"/>
    </w:p>
    <w:p w14:paraId="16FC4FBD" w14:textId="77777777" w:rsidR="008D1729" w:rsidRPr="00CE659A" w:rsidRDefault="00E93A57" w:rsidP="008D1729">
      <w:pPr>
        <w:spacing w:before="100" w:beforeAutospacing="1" w:after="100" w:afterAutospacing="1" w:line="240" w:lineRule="auto"/>
        <w:rPr>
          <w:rFonts w:cs="Arial"/>
          <w:color w:val="000000" w:themeColor="text1"/>
          <w:szCs w:val="21"/>
          <w:lang w:val="es-ES_tradnl" w:eastAsia="en-GB"/>
        </w:rPr>
      </w:pPr>
      <w:bookmarkStart w:id="5" w:name="_Toc410717547"/>
      <w:bookmarkStart w:id="6" w:name="_Toc66711984"/>
      <w:r w:rsidRPr="00CE659A">
        <w:rPr>
          <w:rFonts w:cs="Arial"/>
          <w:color w:val="000000" w:themeColor="text1"/>
          <w:szCs w:val="21"/>
          <w:lang w:val="id" w:eastAsia="en-GB"/>
        </w:rPr>
        <w:t>Cacar monyet tidak menyebar dengan mudah antara manusia.</w:t>
      </w:r>
    </w:p>
    <w:p w14:paraId="688BC8DE" w14:textId="77777777" w:rsidR="008D1729" w:rsidRPr="00CE659A" w:rsidRDefault="00E93A57" w:rsidP="008D1729">
      <w:pPr>
        <w:spacing w:before="100" w:beforeAutospacing="1" w:after="100" w:afterAutospacing="1" w:line="240" w:lineRule="auto"/>
        <w:rPr>
          <w:rFonts w:cs="Arial"/>
          <w:color w:val="000000" w:themeColor="text1"/>
          <w:szCs w:val="21"/>
          <w:lang w:val="it-IT" w:eastAsia="en-GB"/>
        </w:rPr>
      </w:pPr>
      <w:r w:rsidRPr="00CE659A">
        <w:rPr>
          <w:rFonts w:cs="Arial"/>
          <w:color w:val="000000" w:themeColor="text1"/>
          <w:szCs w:val="21"/>
          <w:lang w:val="id" w:eastAsia="en-GB"/>
        </w:rPr>
        <w:t>Penyebaran dari manusia ke manusia dapat terjadi melalui:</w:t>
      </w:r>
    </w:p>
    <w:p w14:paraId="55A5EA3A" w14:textId="77777777" w:rsidR="008D1729" w:rsidRPr="00CE659A" w:rsidRDefault="00E93A57" w:rsidP="00B80D71">
      <w:pPr>
        <w:numPr>
          <w:ilvl w:val="0"/>
          <w:numId w:val="8"/>
        </w:numPr>
        <w:spacing w:before="100" w:beforeAutospacing="1" w:after="100" w:afterAutospacing="1" w:line="240" w:lineRule="auto"/>
        <w:rPr>
          <w:rFonts w:cs="Arial"/>
          <w:color w:val="000000" w:themeColor="text1"/>
          <w:szCs w:val="21"/>
          <w:lang w:eastAsia="en-GB"/>
        </w:rPr>
      </w:pPr>
      <w:r w:rsidRPr="00CE659A">
        <w:rPr>
          <w:rFonts w:cs="Arial"/>
          <w:color w:val="000000" w:themeColor="text1"/>
          <w:szCs w:val="21"/>
          <w:lang w:val="id" w:eastAsia="en-GB"/>
        </w:rPr>
        <w:t>kontak seksual atau intim dengan orang yang terinfeksi</w:t>
      </w:r>
    </w:p>
    <w:p w14:paraId="59179D64" w14:textId="77777777" w:rsidR="008D1729" w:rsidRPr="00CE659A" w:rsidRDefault="00E93A57" w:rsidP="00B80D71">
      <w:pPr>
        <w:numPr>
          <w:ilvl w:val="0"/>
          <w:numId w:val="8"/>
        </w:numPr>
        <w:spacing w:before="100" w:beforeAutospacing="1" w:after="100" w:afterAutospacing="1" w:line="240" w:lineRule="auto"/>
        <w:rPr>
          <w:rFonts w:cs="Arial"/>
          <w:color w:val="000000" w:themeColor="text1"/>
          <w:szCs w:val="21"/>
          <w:lang w:eastAsia="en-GB"/>
        </w:rPr>
      </w:pPr>
      <w:r w:rsidRPr="00CE659A">
        <w:rPr>
          <w:rFonts w:cs="Arial"/>
          <w:color w:val="000000" w:themeColor="text1"/>
          <w:szCs w:val="21"/>
          <w:lang w:val="id" w:eastAsia="en-GB"/>
        </w:rPr>
        <w:t>kontak dengan pakaian atau kain (seperti seprai atau handuk) yang digunakan oleh orang yang terinfeksi</w:t>
      </w:r>
    </w:p>
    <w:p w14:paraId="79FDFBDD" w14:textId="77777777" w:rsidR="008D1729" w:rsidRPr="00CE659A" w:rsidRDefault="00E93A57" w:rsidP="00B80D71">
      <w:pPr>
        <w:numPr>
          <w:ilvl w:val="0"/>
          <w:numId w:val="8"/>
        </w:numPr>
        <w:spacing w:before="100" w:beforeAutospacing="1" w:after="100" w:afterAutospacing="1" w:line="240" w:lineRule="auto"/>
        <w:rPr>
          <w:rFonts w:cs="Arial"/>
          <w:color w:val="000000" w:themeColor="text1"/>
          <w:szCs w:val="21"/>
          <w:lang w:eastAsia="en-GB"/>
        </w:rPr>
      </w:pPr>
      <w:r w:rsidRPr="00CE659A">
        <w:rPr>
          <w:rFonts w:cs="Arial"/>
          <w:color w:val="000000" w:themeColor="text1"/>
          <w:szCs w:val="21"/>
          <w:lang w:val="id" w:eastAsia="en-GB"/>
        </w:rPr>
        <w:t>kontak langsung dengan lesi atau koreng pada kulit yang disebabkan cacar monyet</w:t>
      </w:r>
    </w:p>
    <w:p w14:paraId="1FB434C3" w14:textId="77777777" w:rsidR="008D1729" w:rsidRPr="00CE659A" w:rsidRDefault="00E93A57" w:rsidP="00B80D71">
      <w:pPr>
        <w:numPr>
          <w:ilvl w:val="0"/>
          <w:numId w:val="8"/>
        </w:numPr>
        <w:spacing w:before="100" w:beforeAutospacing="1" w:after="100" w:afterAutospacing="1" w:line="240" w:lineRule="auto"/>
        <w:rPr>
          <w:rFonts w:cs="Arial"/>
          <w:color w:val="000000" w:themeColor="text1"/>
          <w:lang w:eastAsia="en-GB"/>
        </w:rPr>
      </w:pPr>
      <w:r w:rsidRPr="00CE659A">
        <w:rPr>
          <w:rFonts w:cs="Arial"/>
          <w:color w:val="000000" w:themeColor="text1"/>
          <w:lang w:val="id" w:eastAsia="en-GB"/>
        </w:rPr>
        <w:t>percikan cairan yang keluar dari saluran pernapasan seseorang yang menderita cacar monyet.</w:t>
      </w:r>
    </w:p>
    <w:p w14:paraId="5F58F0D5" w14:textId="77777777" w:rsidR="008D1729" w:rsidRPr="00CE659A" w:rsidRDefault="00E93A57" w:rsidP="0E43994D">
      <w:pPr>
        <w:spacing w:before="100" w:beforeAutospacing="1" w:after="100" w:afterAutospacing="1" w:line="240" w:lineRule="auto"/>
        <w:rPr>
          <w:rFonts w:cs="Arial"/>
          <w:color w:val="000000" w:themeColor="text1"/>
          <w:lang w:val="id" w:eastAsia="en-GB"/>
        </w:rPr>
      </w:pPr>
      <w:r w:rsidRPr="00CE659A">
        <w:rPr>
          <w:rFonts w:eastAsia="Arial" w:cs="Arial"/>
          <w:color w:val="000000" w:themeColor="text1"/>
          <w:szCs w:val="21"/>
          <w:lang w:val="id"/>
        </w:rPr>
        <w:t>Cacar monyet tidak menular melalui kontak sepintas. Di wilayah-wilayah endemik, penyebaran cacar monyet dapat terjadi ketika seseorang mengalami kontak dekat dengan hewan liar (misalnya hewan pengerat) yang terinfeksi virus tersebut atau memakan daging hewan liar yang terinfeksi.</w:t>
      </w:r>
    </w:p>
    <w:p w14:paraId="721C0CF8" w14:textId="77777777" w:rsidR="008D1729" w:rsidRPr="00CE659A" w:rsidRDefault="00E93A57" w:rsidP="008D1729">
      <w:pPr>
        <w:spacing w:before="100" w:beforeAutospacing="1" w:after="100" w:afterAutospacing="1" w:line="240" w:lineRule="auto"/>
        <w:rPr>
          <w:rFonts w:cs="Arial"/>
          <w:color w:val="000000" w:themeColor="text1"/>
          <w:szCs w:val="21"/>
          <w:lang w:val="id" w:eastAsia="en-GB"/>
        </w:rPr>
      </w:pPr>
      <w:r w:rsidRPr="00CE659A">
        <w:rPr>
          <w:rFonts w:cs="Arial"/>
          <w:color w:val="000000" w:themeColor="text1"/>
          <w:szCs w:val="21"/>
          <w:lang w:val="id" w:eastAsia="en-GB"/>
        </w:rPr>
        <w:t>Penderita cacar monyet dapat menginfeksi orang lain dari waktu mereka mengalami gejala pertama (yang biasanya demam, tetapi terkadang dimulai dengan ruam) hingga luka akibat ruam mengeras, mengering atau mengelupas. </w:t>
      </w:r>
    </w:p>
    <w:p w14:paraId="392A6E05" w14:textId="77777777" w:rsidR="00E149E2" w:rsidRPr="007C3510" w:rsidRDefault="00E93A57" w:rsidP="00E149E2">
      <w:pPr>
        <w:pStyle w:val="Heading1"/>
        <w:rPr>
          <w:lang w:val="id"/>
        </w:rPr>
      </w:pPr>
      <w:bookmarkStart w:id="7" w:name="_Toc104371285"/>
      <w:bookmarkEnd w:id="5"/>
      <w:bookmarkEnd w:id="6"/>
      <w:r>
        <w:rPr>
          <w:lang w:val="id"/>
        </w:rPr>
        <w:t>Gejala penyakit cacar monyet</w:t>
      </w:r>
      <w:bookmarkEnd w:id="7"/>
    </w:p>
    <w:p w14:paraId="2BCB8D42" w14:textId="77777777" w:rsidR="519A0F31" w:rsidRPr="00CE659A" w:rsidRDefault="00E93A57" w:rsidP="76CA397E">
      <w:pPr>
        <w:spacing w:beforeAutospacing="1" w:afterAutospacing="1" w:line="240" w:lineRule="auto"/>
        <w:rPr>
          <w:rFonts w:eastAsia="Arial" w:cs="Arial"/>
          <w:color w:val="000000" w:themeColor="text1"/>
          <w:szCs w:val="21"/>
          <w:lang w:val="id"/>
        </w:rPr>
      </w:pPr>
      <w:r w:rsidRPr="00CE659A">
        <w:rPr>
          <w:rFonts w:eastAsia="Arial" w:cs="Arial"/>
          <w:color w:val="000000" w:themeColor="text1"/>
          <w:szCs w:val="21"/>
          <w:lang w:val="id"/>
        </w:rPr>
        <w:t>Gejala dapat timbul hingga 21 hari sejak kontak dekat dengan penderita MPX.</w:t>
      </w:r>
    </w:p>
    <w:p w14:paraId="3AF6F5D8" w14:textId="77777777" w:rsidR="519A0F31" w:rsidRPr="00CE659A" w:rsidRDefault="00E93A57" w:rsidP="76CA397E">
      <w:pPr>
        <w:spacing w:beforeAutospacing="1" w:afterAutospacing="1" w:line="240" w:lineRule="auto"/>
        <w:rPr>
          <w:rFonts w:eastAsia="Arial" w:cs="Arial"/>
          <w:color w:val="000000" w:themeColor="text1"/>
          <w:szCs w:val="21"/>
          <w:lang w:val="id"/>
        </w:rPr>
      </w:pPr>
      <w:r w:rsidRPr="00CE659A">
        <w:rPr>
          <w:rFonts w:eastAsia="Arial" w:cs="Arial"/>
          <w:color w:val="000000" w:themeColor="text1"/>
          <w:szCs w:val="21"/>
          <w:lang w:val="id"/>
        </w:rPr>
        <w:t>Gejala MPX dapat berupa ruam yang mungkin terasa sakit dan berdampak pada bagian tubuh mana saja, termasuk:</w:t>
      </w:r>
    </w:p>
    <w:p w14:paraId="2F422348" w14:textId="77777777" w:rsidR="519A0F31" w:rsidRPr="00CE659A" w:rsidRDefault="00E93A57" w:rsidP="00B80D71">
      <w:pPr>
        <w:pStyle w:val="ListParagraph"/>
        <w:numPr>
          <w:ilvl w:val="0"/>
          <w:numId w:val="1"/>
        </w:numPr>
        <w:spacing w:beforeAutospacing="1" w:afterAutospacing="1" w:line="240" w:lineRule="auto"/>
        <w:rPr>
          <w:rFonts w:eastAsia="Arial" w:cs="Arial"/>
          <w:color w:val="000000" w:themeColor="text1"/>
          <w:szCs w:val="21"/>
        </w:rPr>
      </w:pPr>
      <w:r w:rsidRPr="00CE659A">
        <w:rPr>
          <w:rFonts w:eastAsia="Arial" w:cs="Arial"/>
          <w:color w:val="000000" w:themeColor="text1"/>
          <w:szCs w:val="21"/>
          <w:lang w:val="id"/>
        </w:rPr>
        <w:t>alat kelamin</w:t>
      </w:r>
    </w:p>
    <w:p w14:paraId="17504365" w14:textId="77777777" w:rsidR="519A0F31" w:rsidRPr="00CE659A" w:rsidRDefault="00E93A57" w:rsidP="00B80D71">
      <w:pPr>
        <w:pStyle w:val="ListParagraph"/>
        <w:numPr>
          <w:ilvl w:val="0"/>
          <w:numId w:val="1"/>
        </w:numPr>
        <w:spacing w:beforeAutospacing="1" w:afterAutospacing="1" w:line="240" w:lineRule="auto"/>
        <w:rPr>
          <w:rFonts w:eastAsia="Arial" w:cs="Arial"/>
          <w:color w:val="000000" w:themeColor="text1"/>
          <w:szCs w:val="21"/>
        </w:rPr>
      </w:pPr>
      <w:r w:rsidRPr="00CE659A">
        <w:rPr>
          <w:rFonts w:eastAsia="Arial" w:cs="Arial"/>
          <w:color w:val="000000" w:themeColor="text1"/>
          <w:szCs w:val="21"/>
          <w:lang w:val="id"/>
        </w:rPr>
        <w:t>daerah di sekitar anus dan pantat</w:t>
      </w:r>
    </w:p>
    <w:p w14:paraId="7D36430B" w14:textId="77777777" w:rsidR="519A0F31" w:rsidRPr="00CE659A" w:rsidRDefault="00E93A57" w:rsidP="00B80D71">
      <w:pPr>
        <w:pStyle w:val="ListParagraph"/>
        <w:numPr>
          <w:ilvl w:val="0"/>
          <w:numId w:val="1"/>
        </w:numPr>
        <w:spacing w:beforeAutospacing="1" w:afterAutospacing="1" w:line="240" w:lineRule="auto"/>
        <w:rPr>
          <w:rFonts w:eastAsia="Arial" w:cs="Arial"/>
          <w:color w:val="000000" w:themeColor="text1"/>
          <w:szCs w:val="21"/>
        </w:rPr>
      </w:pPr>
      <w:r w:rsidRPr="00CE659A">
        <w:rPr>
          <w:rFonts w:eastAsia="Arial" w:cs="Arial"/>
          <w:color w:val="000000" w:themeColor="text1"/>
          <w:szCs w:val="21"/>
          <w:lang w:val="id"/>
        </w:rPr>
        <w:t>di dalam mulut</w:t>
      </w:r>
    </w:p>
    <w:p w14:paraId="25B6F688" w14:textId="77777777" w:rsidR="519A0F31" w:rsidRPr="00CE659A" w:rsidRDefault="00E93A57" w:rsidP="00B80D71">
      <w:pPr>
        <w:pStyle w:val="ListParagraph"/>
        <w:numPr>
          <w:ilvl w:val="0"/>
          <w:numId w:val="1"/>
        </w:numPr>
        <w:spacing w:beforeAutospacing="1" w:afterAutospacing="1" w:line="240" w:lineRule="auto"/>
        <w:rPr>
          <w:rFonts w:eastAsia="Arial" w:cs="Arial"/>
          <w:color w:val="000000" w:themeColor="text1"/>
          <w:szCs w:val="21"/>
        </w:rPr>
      </w:pPr>
      <w:r w:rsidRPr="00CE659A">
        <w:rPr>
          <w:rFonts w:eastAsia="Arial" w:cs="Arial"/>
          <w:color w:val="000000" w:themeColor="text1"/>
          <w:szCs w:val="21"/>
          <w:lang w:val="id"/>
        </w:rPr>
        <w:lastRenderedPageBreak/>
        <w:t>wajah</w:t>
      </w:r>
    </w:p>
    <w:p w14:paraId="771C8ADB" w14:textId="77777777" w:rsidR="519A0F31" w:rsidRPr="00CE659A" w:rsidRDefault="00E93A57" w:rsidP="00B80D71">
      <w:pPr>
        <w:pStyle w:val="ListParagraph"/>
        <w:numPr>
          <w:ilvl w:val="0"/>
          <w:numId w:val="1"/>
        </w:numPr>
        <w:spacing w:beforeAutospacing="1" w:afterAutospacing="1" w:line="240" w:lineRule="auto"/>
        <w:rPr>
          <w:rFonts w:eastAsia="Arial" w:cs="Arial"/>
          <w:color w:val="000000" w:themeColor="text1"/>
          <w:szCs w:val="21"/>
        </w:rPr>
      </w:pPr>
      <w:r w:rsidRPr="00CE659A">
        <w:rPr>
          <w:rFonts w:eastAsia="Arial" w:cs="Arial"/>
          <w:color w:val="000000" w:themeColor="text1"/>
          <w:szCs w:val="21"/>
          <w:lang w:val="id"/>
        </w:rPr>
        <w:t>tangan dan lengan</w:t>
      </w:r>
    </w:p>
    <w:p w14:paraId="1D07F064" w14:textId="77777777" w:rsidR="519A0F31" w:rsidRPr="00CE659A" w:rsidRDefault="00E93A57" w:rsidP="00B80D71">
      <w:pPr>
        <w:pStyle w:val="ListParagraph"/>
        <w:numPr>
          <w:ilvl w:val="0"/>
          <w:numId w:val="1"/>
        </w:numPr>
        <w:spacing w:beforeAutospacing="1" w:afterAutospacing="1" w:line="240" w:lineRule="auto"/>
        <w:rPr>
          <w:rFonts w:eastAsia="Arial" w:cs="Arial"/>
          <w:color w:val="000000" w:themeColor="text1"/>
          <w:szCs w:val="21"/>
        </w:rPr>
      </w:pPr>
      <w:r w:rsidRPr="00CE659A">
        <w:rPr>
          <w:rFonts w:eastAsia="Arial" w:cs="Arial"/>
          <w:color w:val="000000" w:themeColor="text1"/>
          <w:szCs w:val="21"/>
          <w:lang w:val="id"/>
        </w:rPr>
        <w:t>kaki dan tungkai.</w:t>
      </w:r>
    </w:p>
    <w:p w14:paraId="549DF77B" w14:textId="77777777" w:rsidR="0E43994D" w:rsidRPr="00CE659A" w:rsidRDefault="00E93A57" w:rsidP="0E43994D">
      <w:pPr>
        <w:spacing w:beforeAutospacing="1" w:afterAutospacing="1" w:line="240" w:lineRule="auto"/>
        <w:rPr>
          <w:rFonts w:cs="Arial"/>
          <w:color w:val="000000" w:themeColor="text1"/>
          <w:lang w:val="id" w:eastAsia="en-GB"/>
        </w:rPr>
      </w:pPr>
      <w:r w:rsidRPr="00CE659A">
        <w:rPr>
          <w:rFonts w:cs="Arial"/>
          <w:color w:val="000000" w:themeColor="text1"/>
          <w:lang w:val="id" w:eastAsia="en-GB"/>
        </w:rPr>
        <w:t>Ruam yang terkait dengan cacar monyet dapat berupa vesikel (lepuhan berisi cairan) atau pustula (jerawat nanah). Jumlah lesi bervariasi dari beberapa hingga beberapa ribu. Ruam tersebut berubah dan melalui tahap-tahap yang berbeda, seperti cacar air, sebelum akhirnya menjadi koreng yang mengelupas.</w:t>
      </w:r>
    </w:p>
    <w:p w14:paraId="4B2C0AA4" w14:textId="77777777" w:rsidR="008D1729" w:rsidRPr="00CE659A" w:rsidRDefault="00E93A57" w:rsidP="0E43994D">
      <w:pPr>
        <w:spacing w:before="100" w:beforeAutospacing="1" w:after="100" w:afterAutospacing="1" w:line="240" w:lineRule="auto"/>
        <w:rPr>
          <w:rFonts w:cs="Arial"/>
          <w:color w:val="000000" w:themeColor="text1"/>
          <w:lang w:val="id" w:eastAsia="en-GB"/>
        </w:rPr>
      </w:pPr>
      <w:r w:rsidRPr="00CE659A">
        <w:rPr>
          <w:rFonts w:cs="Arial"/>
          <w:color w:val="000000" w:themeColor="text1"/>
          <w:lang w:val="id" w:eastAsia="en-GB"/>
        </w:rPr>
        <w:t>Gejala-gejala lain cacar monyet yang dapat terjadi sebelum atau bersama dengan ruam adalah:</w:t>
      </w:r>
    </w:p>
    <w:p w14:paraId="73A11110" w14:textId="77777777" w:rsidR="008D1729" w:rsidRPr="00CE659A" w:rsidRDefault="00E93A57" w:rsidP="00B80D71">
      <w:pPr>
        <w:numPr>
          <w:ilvl w:val="0"/>
          <w:numId w:val="9"/>
        </w:numPr>
        <w:spacing w:before="100" w:beforeAutospacing="1" w:after="100" w:afterAutospacing="1" w:line="240" w:lineRule="auto"/>
        <w:rPr>
          <w:rFonts w:cs="Arial"/>
          <w:color w:val="000000" w:themeColor="text1"/>
          <w:szCs w:val="21"/>
          <w:lang w:eastAsia="en-GB"/>
        </w:rPr>
      </w:pPr>
      <w:r w:rsidRPr="00CE659A">
        <w:rPr>
          <w:rFonts w:cs="Arial"/>
          <w:color w:val="000000" w:themeColor="text1"/>
          <w:szCs w:val="21"/>
          <w:lang w:val="id" w:eastAsia="en-GB"/>
        </w:rPr>
        <w:t>demam</w:t>
      </w:r>
    </w:p>
    <w:p w14:paraId="05188AB4" w14:textId="77777777" w:rsidR="008D1729" w:rsidRPr="00CE659A" w:rsidRDefault="00E93A57" w:rsidP="00B80D71">
      <w:pPr>
        <w:numPr>
          <w:ilvl w:val="0"/>
          <w:numId w:val="9"/>
        </w:numPr>
        <w:spacing w:before="100" w:beforeAutospacing="1" w:after="100" w:afterAutospacing="1" w:line="240" w:lineRule="auto"/>
        <w:rPr>
          <w:rFonts w:cs="Arial"/>
          <w:color w:val="000000" w:themeColor="text1"/>
          <w:szCs w:val="21"/>
          <w:lang w:eastAsia="en-GB"/>
        </w:rPr>
      </w:pPr>
      <w:r w:rsidRPr="00CE659A">
        <w:rPr>
          <w:rFonts w:cs="Arial"/>
          <w:color w:val="000000" w:themeColor="text1"/>
          <w:szCs w:val="21"/>
          <w:lang w:val="id" w:eastAsia="en-GB"/>
        </w:rPr>
        <w:t>rasa panas dingin</w:t>
      </w:r>
    </w:p>
    <w:p w14:paraId="198DC07C" w14:textId="77777777" w:rsidR="008D1729" w:rsidRPr="00CE659A" w:rsidRDefault="00E93A57" w:rsidP="00B80D71">
      <w:pPr>
        <w:numPr>
          <w:ilvl w:val="0"/>
          <w:numId w:val="9"/>
        </w:numPr>
        <w:spacing w:before="100" w:beforeAutospacing="1" w:after="100" w:afterAutospacing="1" w:line="240" w:lineRule="auto"/>
        <w:rPr>
          <w:rFonts w:cs="Arial"/>
          <w:color w:val="000000" w:themeColor="text1"/>
          <w:szCs w:val="21"/>
          <w:lang w:eastAsia="en-GB"/>
        </w:rPr>
      </w:pPr>
      <w:r w:rsidRPr="00CE659A">
        <w:rPr>
          <w:rFonts w:cs="Arial"/>
          <w:color w:val="000000" w:themeColor="text1"/>
          <w:szCs w:val="21"/>
          <w:lang w:val="id" w:eastAsia="en-GB"/>
        </w:rPr>
        <w:t>nyeri otot</w:t>
      </w:r>
    </w:p>
    <w:p w14:paraId="6E1E0526" w14:textId="77777777" w:rsidR="008D1729" w:rsidRPr="00CE659A" w:rsidRDefault="00E93A57" w:rsidP="00B80D71">
      <w:pPr>
        <w:numPr>
          <w:ilvl w:val="0"/>
          <w:numId w:val="9"/>
        </w:numPr>
        <w:spacing w:before="100" w:beforeAutospacing="1" w:after="100" w:afterAutospacing="1" w:line="240" w:lineRule="auto"/>
        <w:rPr>
          <w:rFonts w:cs="Arial"/>
          <w:color w:val="000000" w:themeColor="text1"/>
          <w:szCs w:val="21"/>
          <w:lang w:eastAsia="en-GB"/>
        </w:rPr>
      </w:pPr>
      <w:r w:rsidRPr="00CE659A">
        <w:rPr>
          <w:rFonts w:cs="Arial"/>
          <w:color w:val="000000" w:themeColor="text1"/>
          <w:szCs w:val="21"/>
          <w:lang w:val="id" w:eastAsia="en-GB"/>
        </w:rPr>
        <w:t>sakit punggung</w:t>
      </w:r>
    </w:p>
    <w:p w14:paraId="10B8742D" w14:textId="77777777" w:rsidR="008D1729" w:rsidRPr="00CE659A" w:rsidRDefault="00E93A57" w:rsidP="00B80D71">
      <w:pPr>
        <w:numPr>
          <w:ilvl w:val="0"/>
          <w:numId w:val="9"/>
        </w:numPr>
        <w:spacing w:before="100" w:beforeAutospacing="1" w:after="100" w:afterAutospacing="1" w:line="240" w:lineRule="auto"/>
        <w:rPr>
          <w:rFonts w:cs="Arial"/>
          <w:color w:val="000000" w:themeColor="text1"/>
          <w:szCs w:val="21"/>
          <w:lang w:eastAsia="en-GB"/>
        </w:rPr>
      </w:pPr>
      <w:r w:rsidRPr="00CE659A">
        <w:rPr>
          <w:rFonts w:cs="Arial"/>
          <w:color w:val="000000" w:themeColor="text1"/>
          <w:szCs w:val="21"/>
          <w:lang w:val="id" w:eastAsia="en-GB"/>
        </w:rPr>
        <w:t>pembengkakan kelenjar getah bening</w:t>
      </w:r>
    </w:p>
    <w:p w14:paraId="0F4D8F15" w14:textId="77777777" w:rsidR="008D1729" w:rsidRPr="00CE659A" w:rsidRDefault="00E93A57" w:rsidP="00B80D71">
      <w:pPr>
        <w:numPr>
          <w:ilvl w:val="0"/>
          <w:numId w:val="9"/>
        </w:numPr>
        <w:spacing w:before="100" w:beforeAutospacing="1" w:after="100" w:afterAutospacing="1" w:line="240" w:lineRule="auto"/>
        <w:rPr>
          <w:rFonts w:cs="Arial"/>
          <w:color w:val="000000" w:themeColor="text1"/>
          <w:lang w:eastAsia="en-GB"/>
        </w:rPr>
      </w:pPr>
      <w:r w:rsidRPr="00CE659A">
        <w:rPr>
          <w:rFonts w:cs="Arial"/>
          <w:color w:val="000000" w:themeColor="text1"/>
          <w:lang w:val="id" w:eastAsia="en-GB"/>
        </w:rPr>
        <w:t>keletihan</w:t>
      </w:r>
    </w:p>
    <w:p w14:paraId="2D76DCF7" w14:textId="77777777" w:rsidR="363A5A64" w:rsidRPr="00CE659A" w:rsidRDefault="00E93A57" w:rsidP="00B80D71">
      <w:pPr>
        <w:numPr>
          <w:ilvl w:val="0"/>
          <w:numId w:val="9"/>
        </w:numPr>
        <w:spacing w:beforeAutospacing="1" w:afterAutospacing="1" w:line="240" w:lineRule="auto"/>
        <w:rPr>
          <w:color w:val="000000" w:themeColor="text1"/>
          <w:lang w:eastAsia="en-GB"/>
        </w:rPr>
      </w:pPr>
      <w:r w:rsidRPr="00CE659A">
        <w:rPr>
          <w:rFonts w:cs="Arial"/>
          <w:color w:val="000000" w:themeColor="text1"/>
          <w:szCs w:val="21"/>
          <w:lang w:val="id" w:eastAsia="en-GB"/>
        </w:rPr>
        <w:t>nyeri anus dan rektum</w:t>
      </w:r>
    </w:p>
    <w:p w14:paraId="4407BC62" w14:textId="77777777" w:rsidR="76CA397E" w:rsidRPr="00CE659A" w:rsidRDefault="00E93A57" w:rsidP="00B80D71">
      <w:pPr>
        <w:numPr>
          <w:ilvl w:val="0"/>
          <w:numId w:val="9"/>
        </w:numPr>
        <w:spacing w:beforeAutospacing="1" w:afterAutospacing="1" w:line="240" w:lineRule="auto"/>
        <w:rPr>
          <w:color w:val="000000" w:themeColor="text1"/>
          <w:lang w:eastAsia="en-GB"/>
        </w:rPr>
      </w:pPr>
      <w:r w:rsidRPr="00CE659A">
        <w:rPr>
          <w:rFonts w:cs="Arial"/>
          <w:color w:val="000000" w:themeColor="text1"/>
          <w:szCs w:val="21"/>
          <w:lang w:val="id" w:eastAsia="en-GB"/>
        </w:rPr>
        <w:t>nyeri saat buang air kecil.</w:t>
      </w:r>
    </w:p>
    <w:p w14:paraId="77D2CE78" w14:textId="77777777" w:rsidR="007E4D22" w:rsidRPr="00CE659A" w:rsidRDefault="00E93A57" w:rsidP="76CA397E">
      <w:pPr>
        <w:spacing w:before="100" w:beforeAutospacing="1" w:after="100" w:afterAutospacing="1" w:line="240" w:lineRule="auto"/>
        <w:rPr>
          <w:rStyle w:val="normaltextrun"/>
          <w:rFonts w:cs="Arial"/>
          <w:color w:val="000000" w:themeColor="text1"/>
          <w:lang w:val="it-IT" w:eastAsia="en-GB"/>
        </w:rPr>
      </w:pPr>
      <w:r w:rsidRPr="00CE659A">
        <w:rPr>
          <w:rFonts w:cs="Arial"/>
          <w:color w:val="000000" w:themeColor="text1"/>
          <w:lang w:val="id" w:eastAsia="en-GB"/>
        </w:rPr>
        <w:t>Gejala-gejala tersebut biasanya mereda sendiri dalam beberapa minggu.</w:t>
      </w:r>
    </w:p>
    <w:p w14:paraId="6D47CDBF" w14:textId="77777777" w:rsidR="008D1729" w:rsidRPr="007C3510" w:rsidRDefault="00E93A57" w:rsidP="00F059F2">
      <w:pPr>
        <w:pStyle w:val="Heading1"/>
        <w:rPr>
          <w:lang w:val="it-IT"/>
        </w:rPr>
      </w:pPr>
      <w:bookmarkStart w:id="8" w:name="_Toc104371286"/>
      <w:r>
        <w:rPr>
          <w:lang w:val="id"/>
        </w:rPr>
        <w:t>Siapa yang berisiko terkena cacar monyet</w:t>
      </w:r>
      <w:bookmarkEnd w:id="8"/>
    </w:p>
    <w:p w14:paraId="76AD17D6" w14:textId="77777777" w:rsidR="349CE291" w:rsidRPr="00CE659A" w:rsidRDefault="00E93A57" w:rsidP="76CA397E">
      <w:pPr>
        <w:spacing w:beforeAutospacing="1" w:afterAutospacing="1" w:line="240" w:lineRule="auto"/>
        <w:rPr>
          <w:rFonts w:eastAsia="Arial" w:cs="Arial"/>
          <w:color w:val="000000" w:themeColor="text1"/>
          <w:szCs w:val="21"/>
          <w:lang w:val="it-IT"/>
        </w:rPr>
      </w:pPr>
      <w:r w:rsidRPr="00CE659A">
        <w:rPr>
          <w:rFonts w:eastAsia="Arial" w:cs="Arial"/>
          <w:color w:val="000000" w:themeColor="text1"/>
          <w:szCs w:val="21"/>
          <w:lang w:val="id"/>
        </w:rPr>
        <w:t>Siapa saja yang telah melakukan kontak dekat bersentuhan kulit (misalnya kontak yang lama atau intim) dengan seorang penderita MPX dapat terinfeksi.</w:t>
      </w:r>
    </w:p>
    <w:p w14:paraId="69786BE5" w14:textId="77777777" w:rsidR="349CE291" w:rsidRPr="00CE659A" w:rsidRDefault="00E93A57" w:rsidP="76CA397E">
      <w:pPr>
        <w:spacing w:beforeAutospacing="1" w:afterAutospacing="1" w:line="240" w:lineRule="auto"/>
        <w:rPr>
          <w:rFonts w:eastAsia="Arial" w:cs="Arial"/>
          <w:color w:val="000000" w:themeColor="text1"/>
          <w:szCs w:val="21"/>
          <w:lang w:val="it-IT"/>
        </w:rPr>
      </w:pPr>
      <w:r w:rsidRPr="00CE659A">
        <w:rPr>
          <w:rFonts w:eastAsia="Arial" w:cs="Arial"/>
          <w:color w:val="000000" w:themeColor="text1"/>
          <w:szCs w:val="21"/>
          <w:lang w:val="id"/>
        </w:rPr>
        <w:t>Yang berisiko tertinggi adalah pria yang melakukan hubungan seks dengan pria, khususnya yang bepergian ke wilayah wabah, memiliki beberapa pasangan seks atau menghadiri pesta besar atau tempat-tempat yang dikunjungi untuk berhubungan seks.</w:t>
      </w:r>
    </w:p>
    <w:p w14:paraId="4BD01379" w14:textId="77777777" w:rsidR="349CE291" w:rsidRPr="00CE659A" w:rsidRDefault="00E93A57" w:rsidP="76CA397E">
      <w:pPr>
        <w:pStyle w:val="Body"/>
        <w:rPr>
          <w:rFonts w:cs="Arial"/>
          <w:color w:val="000000" w:themeColor="text1"/>
          <w:lang w:val="it-IT" w:eastAsia="en-GB"/>
        </w:rPr>
      </w:pPr>
      <w:r w:rsidRPr="00CE659A">
        <w:rPr>
          <w:rFonts w:eastAsia="Arial" w:cs="Arial"/>
          <w:color w:val="000000" w:themeColor="text1"/>
          <w:szCs w:val="21"/>
          <w:lang w:val="id"/>
        </w:rPr>
        <w:t>Hingga saat ini, sebagian penderita MPX di Australia terinfeksi ketika berada di luar negeri tetapi penularan lokal juga telah terjadi.</w:t>
      </w:r>
    </w:p>
    <w:p w14:paraId="0887D649" w14:textId="77777777" w:rsidR="00FF03AC" w:rsidRPr="007C3510" w:rsidRDefault="00E93A57" w:rsidP="00FF03AC">
      <w:pPr>
        <w:pStyle w:val="Heading1"/>
        <w:rPr>
          <w:lang w:val="it-IT"/>
        </w:rPr>
      </w:pPr>
      <w:bookmarkStart w:id="9" w:name="_Toc104371287"/>
      <w:r>
        <w:rPr>
          <w:lang w:val="id"/>
        </w:rPr>
        <w:t>Apa yang harus dilakukan jika mengalami gejala cacar monyet</w:t>
      </w:r>
      <w:bookmarkEnd w:id="9"/>
    </w:p>
    <w:p w14:paraId="5E347361" w14:textId="77777777" w:rsidR="008D1729" w:rsidRPr="00CE659A" w:rsidRDefault="00E93A57" w:rsidP="0E43994D">
      <w:pPr>
        <w:spacing w:before="100" w:beforeAutospacing="1" w:after="100" w:afterAutospacing="1" w:line="240" w:lineRule="auto"/>
        <w:rPr>
          <w:rFonts w:cs="Arial"/>
          <w:color w:val="000000" w:themeColor="text1"/>
          <w:lang w:val="it-IT" w:eastAsia="en-GB"/>
        </w:rPr>
      </w:pPr>
      <w:r w:rsidRPr="00CE659A">
        <w:rPr>
          <w:rFonts w:eastAsia="Arial" w:cs="Arial"/>
          <w:color w:val="000000" w:themeColor="text1"/>
          <w:szCs w:val="21"/>
          <w:lang w:val="id"/>
        </w:rPr>
        <w:t xml:space="preserve">Jika Anda mengalami gejala MPX Anda sebaiknya tetap di rumah, membatasi kontak dengan orang lain, dan segera mencari bantuan medis dan menjalani tes. </w:t>
      </w:r>
    </w:p>
    <w:p w14:paraId="1D3B274F" w14:textId="77777777" w:rsidR="008D1729" w:rsidRPr="00CE659A" w:rsidRDefault="00E93A57" w:rsidP="62F6D9B4">
      <w:pPr>
        <w:spacing w:before="100" w:beforeAutospacing="1" w:after="100" w:afterAutospacing="1" w:line="240" w:lineRule="auto"/>
        <w:rPr>
          <w:rFonts w:cs="Arial"/>
          <w:color w:val="000000" w:themeColor="text1"/>
          <w:lang w:val="id" w:eastAsia="en-GB"/>
        </w:rPr>
      </w:pPr>
      <w:r w:rsidRPr="00CE659A">
        <w:rPr>
          <w:rFonts w:cs="Arial"/>
          <w:color w:val="000000" w:themeColor="text1"/>
          <w:lang w:val="id" w:eastAsia="en-GB"/>
        </w:rPr>
        <w:t>Kenakan masker dan hubungi dokter atau rumah sakit terdekat untuk memberi tahu mereka bahwa Anda akan mendatangi tempat mereka. Jika terdapat ruam atau lecet, pastikan ruam atau lecet ini ditutupi.</w:t>
      </w:r>
    </w:p>
    <w:p w14:paraId="015FB7BA" w14:textId="77777777" w:rsidR="00F059F2" w:rsidRPr="007C3510" w:rsidRDefault="00E93A57" w:rsidP="00F059F2">
      <w:pPr>
        <w:pStyle w:val="Heading1"/>
        <w:rPr>
          <w:lang w:val="id" w:eastAsia="en-GB"/>
        </w:rPr>
      </w:pPr>
      <w:r w:rsidRPr="001B3DC5">
        <w:rPr>
          <w:lang w:val="id" w:eastAsia="en-GB"/>
        </w:rPr>
        <w:t>Apa yang perlu Anda lakukan jika Anda adalah kasus MPX</w:t>
      </w:r>
    </w:p>
    <w:p w14:paraId="50180C9F" w14:textId="77777777" w:rsidR="00F059F2" w:rsidRPr="00CE659A" w:rsidRDefault="00E93A57" w:rsidP="00F059F2">
      <w:pPr>
        <w:pStyle w:val="Body"/>
        <w:rPr>
          <w:color w:val="000000" w:themeColor="text1"/>
          <w:lang w:val="id" w:eastAsia="en-GB"/>
        </w:rPr>
      </w:pPr>
      <w:r w:rsidRPr="00CE659A">
        <w:rPr>
          <w:color w:val="000000" w:themeColor="text1"/>
          <w:lang w:val="id" w:eastAsia="en-GB"/>
        </w:rPr>
        <w:t xml:space="preserve">Penderita MPX sebaiknya menghindari kontak dengan orang lain, khususnya anak-anak, wanita hamil, dan orang yang sistem kekebalan tubuhnya lemah. Ini termasuk berbagi tempat tidur dan kegiatan seksual. </w:t>
      </w:r>
    </w:p>
    <w:p w14:paraId="45A9167D" w14:textId="77777777" w:rsidR="00F059F2" w:rsidRPr="00CE659A" w:rsidRDefault="00E93A57" w:rsidP="00F059F2">
      <w:pPr>
        <w:pStyle w:val="Body"/>
        <w:rPr>
          <w:color w:val="000000" w:themeColor="text1"/>
          <w:lang w:val="id" w:eastAsia="en-GB"/>
        </w:rPr>
      </w:pPr>
      <w:r w:rsidRPr="00CE659A">
        <w:rPr>
          <w:color w:val="000000" w:themeColor="text1"/>
          <w:lang w:val="id" w:eastAsia="en-GB"/>
        </w:rPr>
        <w:t>Anda sebaiknya juga menghindari kontak dengan hewan, termasuk hewan peliharaan, karena adanya risiko penularan dari manusia ke hewan.</w:t>
      </w:r>
    </w:p>
    <w:p w14:paraId="02D09FD7" w14:textId="77777777" w:rsidR="00F059F2" w:rsidRPr="00CE659A" w:rsidRDefault="00E93A57" w:rsidP="00F059F2">
      <w:pPr>
        <w:pStyle w:val="Body"/>
        <w:rPr>
          <w:color w:val="000000" w:themeColor="text1"/>
          <w:lang w:val="id" w:eastAsia="en-GB"/>
        </w:rPr>
      </w:pPr>
      <w:r w:rsidRPr="00CE659A">
        <w:rPr>
          <w:color w:val="000000" w:themeColor="text1"/>
          <w:lang w:val="id" w:eastAsia="en-GB"/>
        </w:rPr>
        <w:lastRenderedPageBreak/>
        <w:t>Hindari kontak dengan orang lain sampai lesi kulit sembuh dan ada lapisan kulit baru terbentuk di bawahnya. Pastikan untuk membuat janji tindak lanjut dengan dokter yang merawat Anda karena beliau akan menentukan apakah Anda telah sembuh atau memerlukan arahan klinis lebih lanjut.</w:t>
      </w:r>
    </w:p>
    <w:p w14:paraId="1890BA33" w14:textId="77777777" w:rsidR="00F059F2" w:rsidRPr="00CE659A" w:rsidRDefault="00E93A57" w:rsidP="00F059F2">
      <w:pPr>
        <w:pStyle w:val="Body"/>
        <w:rPr>
          <w:color w:val="000000" w:themeColor="text1"/>
          <w:lang w:val="id" w:eastAsia="en-GB"/>
        </w:rPr>
      </w:pPr>
      <w:r w:rsidRPr="00CE659A">
        <w:rPr>
          <w:color w:val="000000" w:themeColor="text1"/>
          <w:lang w:val="id" w:eastAsia="en-GB"/>
        </w:rPr>
        <w:t>Petugas Departemen Kesehatan atau Unit Kesehatan Masyarakat Setempat akan menghubungi Anda secara teratur untuk memantau keadaan Anda.</w:t>
      </w:r>
    </w:p>
    <w:p w14:paraId="0343E7C3" w14:textId="77777777" w:rsidR="00F059F2" w:rsidRPr="007C3510" w:rsidRDefault="00E93A57" w:rsidP="00F059F2">
      <w:pPr>
        <w:pStyle w:val="Heading1"/>
        <w:rPr>
          <w:lang w:val="id"/>
        </w:rPr>
      </w:pPr>
      <w:r w:rsidRPr="001B3DC5">
        <w:rPr>
          <w:lang w:val="id"/>
        </w:rPr>
        <w:t>Apa yang perlu Anda lakukan jika Anda adalah kontak berisiko tinggi</w:t>
      </w:r>
    </w:p>
    <w:p w14:paraId="5F1ED4EB" w14:textId="77777777" w:rsidR="00F059F2" w:rsidRPr="00CE659A" w:rsidRDefault="00E93A57" w:rsidP="00F059F2">
      <w:pPr>
        <w:pStyle w:val="Body"/>
        <w:rPr>
          <w:color w:val="000000" w:themeColor="text1"/>
          <w:lang w:val="id"/>
        </w:rPr>
      </w:pPr>
      <w:r w:rsidRPr="00CE659A">
        <w:rPr>
          <w:color w:val="000000" w:themeColor="text1"/>
          <w:lang w:val="id"/>
        </w:rPr>
        <w:t>Jika Anda diidentifikasi sebagai kontak berisiko tinggi, itu berarti Anda telah melakukan kontak dekat dengan seorang penderita MPX saat mereka dapat menularkan penyakit, sehingga Anda berisiko terinfeksi.</w:t>
      </w:r>
    </w:p>
    <w:p w14:paraId="3CDB143D" w14:textId="77777777" w:rsidR="00F059F2" w:rsidRPr="00CE659A" w:rsidRDefault="00E93A57" w:rsidP="00F059F2">
      <w:pPr>
        <w:pStyle w:val="Body"/>
        <w:rPr>
          <w:color w:val="000000" w:themeColor="text1"/>
          <w:lang w:val="id"/>
        </w:rPr>
      </w:pPr>
      <w:r w:rsidRPr="00CE659A">
        <w:rPr>
          <w:color w:val="000000" w:themeColor="text1"/>
          <w:lang w:val="id"/>
        </w:rPr>
        <w:t>Local Public Health Units atau LPHU (Unit Kesehatan Masyarakat) setempat menindaklanjuti kontak berisiko tinggi untuk memberi tahu mereka tentang perlunya memantau gejala dan melakukan tindakan pencegahan. Anda perlu memantau gejala selama 21 hari setelah terpapar. Pada beberapa kasus, Anda mungkin ditawari vaksin setelah terpapar untuk mengurangi risiko terkena MPX.</w:t>
      </w:r>
    </w:p>
    <w:p w14:paraId="3BA442F9" w14:textId="77777777" w:rsidR="00F059F2" w:rsidRPr="00CE659A" w:rsidRDefault="00E93A57" w:rsidP="00F059F2">
      <w:pPr>
        <w:pStyle w:val="Body"/>
        <w:rPr>
          <w:color w:val="000000" w:themeColor="text1"/>
          <w:lang w:val="id"/>
        </w:rPr>
      </w:pPr>
      <w:r w:rsidRPr="00CE659A">
        <w:rPr>
          <w:color w:val="000000" w:themeColor="text1"/>
          <w:lang w:val="id"/>
        </w:rPr>
        <w:t>Petugas kesehatan masyarakat dari LPHU akan menghubungi Anda secara teratur selama masa ini untuk memeriksa keadaan Anda dan memeriksa apakah Anda mengalami gejala.</w:t>
      </w:r>
    </w:p>
    <w:p w14:paraId="27AA29FE" w14:textId="77777777" w:rsidR="00F059F2" w:rsidRPr="00CE659A" w:rsidRDefault="00E93A57" w:rsidP="00F059F2">
      <w:pPr>
        <w:pStyle w:val="Body"/>
        <w:rPr>
          <w:color w:val="000000" w:themeColor="text1"/>
        </w:rPr>
      </w:pPr>
      <w:r w:rsidRPr="00CE659A">
        <w:rPr>
          <w:color w:val="000000" w:themeColor="text1"/>
          <w:lang w:val="id"/>
        </w:rPr>
        <w:t>Selain itu, selama 21 hari setelah terpapar, Anda harus:</w:t>
      </w:r>
    </w:p>
    <w:p w14:paraId="4619BF74" w14:textId="77777777" w:rsidR="00F059F2" w:rsidRPr="00CE659A" w:rsidRDefault="00E93A57" w:rsidP="00F059F2">
      <w:pPr>
        <w:pStyle w:val="Bullet1"/>
        <w:rPr>
          <w:color w:val="000000" w:themeColor="text1"/>
        </w:rPr>
      </w:pPr>
      <w:r w:rsidRPr="00CE659A">
        <w:rPr>
          <w:color w:val="000000" w:themeColor="text1"/>
          <w:lang w:val="id"/>
        </w:rPr>
        <w:t>Menghindari kontak dekat dengan orang lain, terutama mereka yang berisiko tinggi terkena penyakit parah seperti anak-anak, wanita hamil, dan orang yang sistem kekebalan tubuhnya yang lemah</w:t>
      </w:r>
    </w:p>
    <w:p w14:paraId="64D2983C" w14:textId="606A4DD2" w:rsidR="00F059F2" w:rsidRPr="00CE659A" w:rsidRDefault="00E93A57" w:rsidP="00F059F2">
      <w:pPr>
        <w:pStyle w:val="Bullet1"/>
        <w:rPr>
          <w:color w:val="000000" w:themeColor="text1"/>
        </w:rPr>
      </w:pPr>
      <w:r w:rsidRPr="00CE659A">
        <w:rPr>
          <w:color w:val="000000" w:themeColor="text1"/>
          <w:lang w:val="id"/>
        </w:rPr>
        <w:t xml:space="preserve">Tidak mengunjungi tempat-tempat yang berisiko tinggi seperti pusat penitipan anak, fasilitas perawatan lansia, dan fasilitas kesehatan kecuali </w:t>
      </w:r>
      <w:proofErr w:type="spellStart"/>
      <w:r w:rsidRPr="00CE659A">
        <w:rPr>
          <w:color w:val="000000" w:themeColor="text1"/>
        </w:rPr>
        <w:t>untuk</w:t>
      </w:r>
      <w:proofErr w:type="spellEnd"/>
      <w:r w:rsidRPr="00CE659A">
        <w:rPr>
          <w:color w:val="000000" w:themeColor="text1"/>
        </w:rPr>
        <w:t xml:space="preserve"> </w:t>
      </w:r>
      <w:r w:rsidRPr="00CE659A">
        <w:rPr>
          <w:color w:val="000000" w:themeColor="text1"/>
          <w:lang w:val="id"/>
        </w:rPr>
        <w:t xml:space="preserve">mencari perawatan medis </w:t>
      </w:r>
    </w:p>
    <w:p w14:paraId="7E27207E" w14:textId="69385A1D" w:rsidR="00F059F2" w:rsidRPr="00CE659A" w:rsidRDefault="00E93A57" w:rsidP="00F059F2">
      <w:pPr>
        <w:pStyle w:val="Bullet1"/>
        <w:rPr>
          <w:color w:val="000000" w:themeColor="text1"/>
        </w:rPr>
      </w:pPr>
      <w:r w:rsidRPr="00CE659A">
        <w:rPr>
          <w:color w:val="000000" w:themeColor="text1"/>
          <w:lang w:val="id"/>
        </w:rPr>
        <w:t>Bekerja dari rumah jika memungkinkan (LPHU akan memberikan arahan kasus per kasus kepada pekerja di tempat-tempat seperti pusat penitipan anak, fasilitas lansia, dan fasilitas kesehatan yang perlu bekerja)</w:t>
      </w:r>
    </w:p>
    <w:p w14:paraId="3E1674CA" w14:textId="77777777" w:rsidR="00F059F2" w:rsidRPr="00CE659A" w:rsidRDefault="00E93A57" w:rsidP="00F059F2">
      <w:pPr>
        <w:pStyle w:val="Bullet1"/>
        <w:rPr>
          <w:color w:val="000000" w:themeColor="text1"/>
        </w:rPr>
      </w:pPr>
      <w:r w:rsidRPr="00CE659A">
        <w:rPr>
          <w:color w:val="000000" w:themeColor="text1"/>
          <w:lang w:val="id"/>
        </w:rPr>
        <w:t xml:space="preserve">Menghindari aktivitas seksual </w:t>
      </w:r>
    </w:p>
    <w:p w14:paraId="7E8B3C53" w14:textId="77777777" w:rsidR="00F059F2" w:rsidRPr="00CE659A" w:rsidRDefault="00E93A57" w:rsidP="00F059F2">
      <w:pPr>
        <w:pStyle w:val="Bullet1"/>
        <w:rPr>
          <w:color w:val="000000" w:themeColor="text1"/>
        </w:rPr>
      </w:pPr>
      <w:r w:rsidRPr="00CE659A">
        <w:rPr>
          <w:color w:val="000000" w:themeColor="text1"/>
          <w:lang w:val="id"/>
        </w:rPr>
        <w:t>Menghindari kontak dengan hewan, terutama anjing dan hewan pengerat (seperti tikus celurut, tikus, hamster, gerbil, marmut, dan tupai)</w:t>
      </w:r>
    </w:p>
    <w:p w14:paraId="3E963F47" w14:textId="77777777" w:rsidR="00F059F2" w:rsidRPr="00CE659A" w:rsidRDefault="00E93A57" w:rsidP="00F059F2">
      <w:pPr>
        <w:pStyle w:val="Bullet1"/>
        <w:rPr>
          <w:color w:val="000000" w:themeColor="text1"/>
        </w:rPr>
      </w:pPr>
      <w:r w:rsidRPr="00CE659A">
        <w:rPr>
          <w:color w:val="000000" w:themeColor="text1"/>
          <w:lang w:val="id"/>
        </w:rPr>
        <w:t xml:space="preserve">Menjaga jarak 1,5 meter setiap saat dari orang lain termasuk di rumah </w:t>
      </w:r>
    </w:p>
    <w:p w14:paraId="25065BD7" w14:textId="77777777" w:rsidR="00F059F2" w:rsidRPr="00CE659A" w:rsidRDefault="00E93A57" w:rsidP="00F059F2">
      <w:pPr>
        <w:pStyle w:val="Bullet1"/>
        <w:rPr>
          <w:color w:val="000000" w:themeColor="text1"/>
        </w:rPr>
      </w:pPr>
      <w:r w:rsidRPr="00CE659A">
        <w:rPr>
          <w:color w:val="000000" w:themeColor="text1"/>
          <w:lang w:val="id"/>
        </w:rPr>
        <w:t>Mengenakan masker bedah saat berada di ruangan yang sama dengan orang lain dan saat di luar rumah</w:t>
      </w:r>
    </w:p>
    <w:p w14:paraId="7FFE00CC" w14:textId="545E9270" w:rsidR="00F059F2" w:rsidRPr="00CE659A" w:rsidRDefault="00E93A57" w:rsidP="00F059F2">
      <w:pPr>
        <w:pStyle w:val="Bullet1"/>
        <w:rPr>
          <w:color w:val="000000" w:themeColor="text1"/>
        </w:rPr>
      </w:pPr>
      <w:r w:rsidRPr="00CE659A">
        <w:rPr>
          <w:color w:val="000000" w:themeColor="text1"/>
          <w:lang w:val="id"/>
        </w:rPr>
        <w:t>Tidak mendonorkan darah, sel, jaringan, ASI, air mani, atau organ tubuh</w:t>
      </w:r>
      <w:r w:rsidR="007C3510" w:rsidRPr="00CE659A">
        <w:rPr>
          <w:color w:val="000000" w:themeColor="text1"/>
          <w:lang w:val="it-IT"/>
        </w:rPr>
        <w:t>.</w:t>
      </w:r>
    </w:p>
    <w:p w14:paraId="4E718D11" w14:textId="77777777" w:rsidR="002D7D39" w:rsidRPr="001B3DC5" w:rsidRDefault="00E93A57" w:rsidP="002D7D39">
      <w:pPr>
        <w:pStyle w:val="Heading1"/>
      </w:pPr>
      <w:bookmarkStart w:id="10" w:name="_Toc104371288"/>
      <w:r w:rsidRPr="001B3DC5">
        <w:rPr>
          <w:lang w:val="id"/>
        </w:rPr>
        <w:t>Cara mencegah cacar monyet</w:t>
      </w:r>
      <w:bookmarkEnd w:id="10"/>
    </w:p>
    <w:p w14:paraId="753DA1DC" w14:textId="77777777" w:rsidR="0042486E" w:rsidRPr="00CE659A" w:rsidRDefault="00E93A57" w:rsidP="76CA397E">
      <w:pPr>
        <w:spacing w:before="100" w:beforeAutospacing="1" w:after="100" w:afterAutospacing="1" w:line="240" w:lineRule="auto"/>
        <w:rPr>
          <w:rFonts w:cs="Arial"/>
          <w:color w:val="000000" w:themeColor="text1"/>
          <w:lang w:val="id" w:eastAsia="en-GB"/>
        </w:rPr>
      </w:pPr>
      <w:r w:rsidRPr="00CE659A">
        <w:rPr>
          <w:rFonts w:cs="Arial"/>
          <w:color w:val="000000" w:themeColor="text1"/>
          <w:lang w:val="id" w:eastAsia="en-GB"/>
        </w:rPr>
        <w:t>Hindarilah kontak dekat dengan orang yang dicurigai atau dipastikan terkena cacar monyet. Ini termasuk kontak dengan bahan yang berpotensi terkontaminasi, seperti tempat tidur dan handuk, yang telah bersentuhan dengan orang yang terinfeksi. Tetap waspada dengan tetap menjalankan langkah-langkah kebersihan, termasuk mencuci tangan dengan sabun dan air atau cairan pembersih berbasis alkohol, adalah hal yang penting.</w:t>
      </w:r>
    </w:p>
    <w:p w14:paraId="58776936" w14:textId="4B24C3AC" w:rsidR="76CA397E" w:rsidRPr="00CE659A" w:rsidRDefault="00E93A57" w:rsidP="00F059F2">
      <w:pPr>
        <w:pStyle w:val="Body"/>
        <w:spacing w:before="100" w:beforeAutospacing="1" w:afterAutospacing="1" w:line="240" w:lineRule="auto"/>
        <w:rPr>
          <w:rFonts w:eastAsia="Arial" w:cs="Arial"/>
          <w:color w:val="000000" w:themeColor="text1"/>
          <w:szCs w:val="21"/>
          <w:lang w:val="id"/>
        </w:rPr>
      </w:pPr>
      <w:r w:rsidRPr="00CE659A">
        <w:rPr>
          <w:rFonts w:eastAsia="Arial" w:cs="Arial"/>
          <w:color w:val="000000" w:themeColor="text1"/>
          <w:szCs w:val="21"/>
          <w:lang w:val="id"/>
        </w:rPr>
        <w:t>MPX juga dapat dicegah dengan membatasi jumlah pasangan seksual Anda dan memastikan bahwa Anda memiliki rincian kontak mereka, sampai Anda telah divaksinasi lengkap. Vaksinasi juga akan melindungi orang lain dari MPX.</w:t>
      </w:r>
    </w:p>
    <w:p w14:paraId="780C12DB" w14:textId="77777777" w:rsidR="76CA397E" w:rsidRPr="007C3510" w:rsidRDefault="00E93A57" w:rsidP="00F059F2">
      <w:pPr>
        <w:pStyle w:val="Heading1"/>
        <w:spacing w:beforeAutospacing="1" w:afterAutospacing="1" w:line="240" w:lineRule="auto"/>
        <w:rPr>
          <w:rFonts w:eastAsia="Times New Roman" w:cs="Times New Roman"/>
          <w:strike/>
          <w:color w:val="222222"/>
          <w:sz w:val="21"/>
          <w:szCs w:val="21"/>
          <w:lang w:val="id" w:eastAsia="en-GB"/>
        </w:rPr>
      </w:pPr>
      <w:bookmarkStart w:id="11" w:name="_Toc104371289"/>
      <w:r w:rsidRPr="001B3DC5">
        <w:rPr>
          <w:lang w:val="id"/>
        </w:rPr>
        <w:lastRenderedPageBreak/>
        <w:t>Pengobatan cacar monyet</w:t>
      </w:r>
      <w:bookmarkEnd w:id="11"/>
    </w:p>
    <w:p w14:paraId="023C5E63" w14:textId="77777777" w:rsidR="0042486E" w:rsidRPr="00CE659A" w:rsidRDefault="00E93A57" w:rsidP="0042486E">
      <w:pPr>
        <w:spacing w:before="100" w:beforeAutospacing="1" w:after="100" w:afterAutospacing="1" w:line="240" w:lineRule="auto"/>
        <w:rPr>
          <w:rFonts w:cs="Arial"/>
          <w:color w:val="000000" w:themeColor="text1"/>
          <w:szCs w:val="21"/>
          <w:lang w:val="id" w:eastAsia="en-GB"/>
        </w:rPr>
      </w:pPr>
      <w:r w:rsidRPr="00CE659A">
        <w:rPr>
          <w:rFonts w:cs="Arial"/>
          <w:color w:val="000000" w:themeColor="text1"/>
          <w:szCs w:val="21"/>
          <w:lang w:val="id" w:eastAsia="en-GB"/>
        </w:rPr>
        <w:t>Pengobatan cacar monyet pada utamanya bersifat suportif. Penyakit ini biasanya ringan dan pemulihan biasanya memakan waktu beberapa minggu.</w:t>
      </w:r>
    </w:p>
    <w:p w14:paraId="60FDB522" w14:textId="77777777" w:rsidR="00ED035E" w:rsidRPr="007C3510" w:rsidRDefault="00E93A57" w:rsidP="00ED035E">
      <w:pPr>
        <w:pStyle w:val="Heading1"/>
        <w:rPr>
          <w:lang w:val="id"/>
        </w:rPr>
      </w:pPr>
      <w:bookmarkStart w:id="12" w:name="_Toc104371290"/>
      <w:r w:rsidRPr="001B3DC5">
        <w:rPr>
          <w:lang w:val="id"/>
        </w:rPr>
        <w:t>Imunisasi untuk cacar monyet</w:t>
      </w:r>
      <w:bookmarkEnd w:id="12"/>
    </w:p>
    <w:p w14:paraId="74B2F4B5" w14:textId="77777777" w:rsidR="00CE659A" w:rsidRPr="00CE659A" w:rsidRDefault="00E93A57" w:rsidP="00CE659A">
      <w:pPr>
        <w:rPr>
          <w:rStyle w:val="contentpasted0"/>
          <w:rFonts w:eastAsia="MS Gothic"/>
          <w:color w:val="000000" w:themeColor="text1"/>
          <w:lang w:val="id"/>
        </w:rPr>
      </w:pPr>
      <w:r w:rsidRPr="00CE659A">
        <w:rPr>
          <w:rStyle w:val="contentpasted0"/>
          <w:rFonts w:eastAsia="MS Gothic"/>
          <w:color w:val="000000" w:themeColor="text1"/>
          <w:lang w:val="id"/>
        </w:rPr>
        <w:t>Di Victoria, vaksin MPX (vaksin JYNNEOS®) tersedia gratis untuk kelompok prioritas tertentu, di layanan kesehatan tertentu, klinik kesehatan seksual, dan melalui unit kesehatan masyarakat setempat. Hubungi dokter GP Anda, klinik kesehatan seksual, atau unit kesehatan masyarakat setempat untuk mendiskusikan apakah vaksin MPX sesuai untuk Anda, dan jika ada biaya yang perlu dikeluarkan sendiri.</w:t>
      </w:r>
    </w:p>
    <w:p w14:paraId="001AC9E7" w14:textId="10F3D159" w:rsidR="00AD6239" w:rsidRPr="007C3510" w:rsidRDefault="00E93A57" w:rsidP="00CE659A">
      <w:pPr>
        <w:rPr>
          <w:rStyle w:val="contentpasted0"/>
          <w:rFonts w:ascii="Calibri" w:eastAsia="MS Gothic" w:hAnsi="Calibri"/>
          <w:sz w:val="22"/>
          <w:lang w:val="id"/>
        </w:rPr>
      </w:pPr>
      <w:r w:rsidRPr="001B3DC5">
        <w:rPr>
          <w:rStyle w:val="contentpasted0"/>
          <w:rFonts w:eastAsia="MS Gothic"/>
          <w:lang w:val="id"/>
        </w:rPr>
        <w:t xml:space="preserve">Jika Anda memenuhi </w:t>
      </w:r>
      <w:hyperlink r:id="rId15" w:anchor="vaccination" w:history="1">
        <w:r w:rsidRPr="001B3DC5">
          <w:rPr>
            <w:rStyle w:val="Hyperlink"/>
            <w:rFonts w:eastAsia="MS Gothic"/>
            <w:lang w:val="id"/>
          </w:rPr>
          <w:t>kriteria kelayakan</w:t>
        </w:r>
      </w:hyperlink>
      <w:r w:rsidRPr="001B3DC5">
        <w:rPr>
          <w:rStyle w:val="contentpasted0"/>
          <w:rFonts w:eastAsia="MS Gothic"/>
          <w:lang w:val="id"/>
        </w:rPr>
        <w:t xml:space="preserve"> </w:t>
      </w:r>
      <w:r w:rsidRPr="00CE659A">
        <w:rPr>
          <w:rStyle w:val="contentpasted0"/>
          <w:rFonts w:eastAsia="MS Gothic"/>
          <w:color w:val="000000" w:themeColor="text1"/>
          <w:lang w:val="id"/>
        </w:rPr>
        <w:t>dan ingin diberi tahu tentang ketersediaan janji temu di masa mendatang, daftarkan data Anda di</w:t>
      </w:r>
      <w:r w:rsidRPr="001B3DC5">
        <w:rPr>
          <w:rStyle w:val="contentpasted0"/>
          <w:rFonts w:eastAsia="MS Gothic"/>
          <w:lang w:val="id"/>
        </w:rPr>
        <w:t xml:space="preserve"> </w:t>
      </w:r>
      <w:hyperlink r:id="rId16" w:history="1">
        <w:r w:rsidRPr="001B3DC5">
          <w:rPr>
            <w:rStyle w:val="Hyperlink"/>
            <w:rFonts w:eastAsia="MS Gothic"/>
            <w:lang w:val="id"/>
          </w:rPr>
          <w:t>formulir online</w:t>
        </w:r>
      </w:hyperlink>
      <w:r w:rsidRPr="001B3DC5">
        <w:rPr>
          <w:rStyle w:val="contentpasted0"/>
          <w:rFonts w:eastAsia="MS Gothic"/>
          <w:lang w:val="id"/>
        </w:rPr>
        <w:t>. </w:t>
      </w:r>
    </w:p>
    <w:p w14:paraId="1EC0404B" w14:textId="77777777" w:rsidR="0042486E" w:rsidRDefault="00E93A57" w:rsidP="0042486E">
      <w:pPr>
        <w:pStyle w:val="Heading1"/>
      </w:pPr>
      <w:bookmarkStart w:id="13" w:name="_Toc104371291"/>
      <w:r>
        <w:rPr>
          <w:lang w:val="id"/>
        </w:rPr>
        <w:t>Ke mana untuk mencari bantuan</w:t>
      </w:r>
      <w:bookmarkEnd w:id="13"/>
    </w:p>
    <w:p w14:paraId="506F3884" w14:textId="46C308A0" w:rsidR="0042486E" w:rsidRPr="00CE659A" w:rsidRDefault="00E93A57" w:rsidP="00B80D71">
      <w:pPr>
        <w:numPr>
          <w:ilvl w:val="0"/>
          <w:numId w:val="10"/>
        </w:numPr>
        <w:spacing w:before="100" w:beforeAutospacing="1" w:after="100" w:afterAutospacing="1" w:line="240" w:lineRule="auto"/>
        <w:rPr>
          <w:rFonts w:cs="Arial"/>
          <w:color w:val="000000" w:themeColor="text1"/>
          <w:szCs w:val="21"/>
          <w:lang w:eastAsia="en-GB"/>
        </w:rPr>
      </w:pPr>
      <w:r w:rsidRPr="00CE659A">
        <w:rPr>
          <w:rFonts w:cs="Arial"/>
          <w:color w:val="000000" w:themeColor="text1"/>
          <w:szCs w:val="21"/>
          <w:lang w:val="id" w:eastAsia="en-GB"/>
        </w:rPr>
        <w:t>Selalu hubungi ambulans dalam keadaan darurat (triple zero) Tel. 000</w:t>
      </w:r>
    </w:p>
    <w:p w14:paraId="55D7FBD0" w14:textId="77777777" w:rsidR="0042486E" w:rsidRPr="00CE659A" w:rsidRDefault="00E93A57" w:rsidP="00B80D71">
      <w:pPr>
        <w:numPr>
          <w:ilvl w:val="0"/>
          <w:numId w:val="10"/>
        </w:numPr>
        <w:spacing w:before="100" w:beforeAutospacing="1" w:after="100" w:afterAutospacing="1" w:line="240" w:lineRule="auto"/>
        <w:rPr>
          <w:rFonts w:cs="Arial"/>
          <w:color w:val="000000" w:themeColor="text1"/>
          <w:szCs w:val="21"/>
          <w:lang w:eastAsia="en-GB"/>
        </w:rPr>
      </w:pPr>
      <w:r w:rsidRPr="00CE659A">
        <w:rPr>
          <w:rFonts w:cs="Arial"/>
          <w:color w:val="000000" w:themeColor="text1"/>
          <w:szCs w:val="21"/>
          <w:lang w:val="id" w:eastAsia="en-GB"/>
        </w:rPr>
        <w:t>Unit gawat darurat di rumah sakit terdekat dari Anda</w:t>
      </w:r>
    </w:p>
    <w:p w14:paraId="59E44EED" w14:textId="77777777" w:rsidR="0042486E" w:rsidRPr="00CE659A" w:rsidRDefault="001A521B" w:rsidP="00B80D71">
      <w:pPr>
        <w:numPr>
          <w:ilvl w:val="0"/>
          <w:numId w:val="10"/>
        </w:numPr>
        <w:spacing w:before="100" w:beforeAutospacing="1" w:after="100" w:afterAutospacing="1" w:line="240" w:lineRule="auto"/>
        <w:rPr>
          <w:rFonts w:cs="Arial"/>
          <w:color w:val="000000" w:themeColor="text1"/>
          <w:szCs w:val="21"/>
          <w:lang w:eastAsia="en-GB"/>
        </w:rPr>
      </w:pPr>
      <w:hyperlink r:id="rId17" w:history="1">
        <w:r w:rsidR="00E93A57" w:rsidRPr="00CE659A">
          <w:rPr>
            <w:rFonts w:cs="Arial"/>
            <w:color w:val="000000" w:themeColor="text1"/>
            <w:szCs w:val="21"/>
            <w:u w:val="single"/>
            <w:lang w:val="id" w:eastAsia="en-GB"/>
          </w:rPr>
          <w:t>Dokter (GP)</w:t>
        </w:r>
      </w:hyperlink>
      <w:r w:rsidR="00E93A57" w:rsidRPr="00CE659A">
        <w:rPr>
          <w:rFonts w:cs="Arial"/>
          <w:color w:val="000000" w:themeColor="text1"/>
          <w:szCs w:val="21"/>
          <w:lang w:val="id" w:eastAsia="en-GB"/>
        </w:rPr>
        <w:t xml:space="preserve"> Anda</w:t>
      </w:r>
    </w:p>
    <w:p w14:paraId="26B4B74F" w14:textId="432EB3F2" w:rsidR="0042486E" w:rsidRPr="00CE659A" w:rsidRDefault="001A521B" w:rsidP="00B80D71">
      <w:pPr>
        <w:numPr>
          <w:ilvl w:val="0"/>
          <w:numId w:val="10"/>
        </w:numPr>
        <w:spacing w:before="100" w:beforeAutospacing="1" w:after="100" w:afterAutospacing="1" w:line="240" w:lineRule="auto"/>
        <w:rPr>
          <w:rFonts w:cs="Arial"/>
          <w:color w:val="000000" w:themeColor="text1"/>
          <w:lang w:eastAsia="en-GB"/>
        </w:rPr>
      </w:pPr>
      <w:hyperlink r:id="rId18" w:history="1">
        <w:r w:rsidR="00E93A57" w:rsidRPr="00CE659A">
          <w:rPr>
            <w:rFonts w:cs="Arial"/>
            <w:color w:val="000000" w:themeColor="text1"/>
            <w:u w:val="single"/>
            <w:lang w:val="id" w:eastAsia="en-GB"/>
          </w:rPr>
          <w:t>NURSE-ON-CALL</w:t>
        </w:r>
      </w:hyperlink>
      <w:r w:rsidR="00E93A57" w:rsidRPr="00CE659A">
        <w:rPr>
          <w:rFonts w:cs="Arial"/>
          <w:color w:val="000000" w:themeColor="text1"/>
          <w:lang w:val="id" w:eastAsia="en-GB"/>
        </w:rPr>
        <w:t> Tel. </w:t>
      </w:r>
      <w:hyperlink r:id="rId19" w:history="1">
        <w:r w:rsidR="00E93A57" w:rsidRPr="00CE659A">
          <w:rPr>
            <w:rFonts w:cs="Arial"/>
            <w:color w:val="000000" w:themeColor="text1"/>
            <w:u w:val="single"/>
            <w:lang w:val="id" w:eastAsia="en-GB"/>
          </w:rPr>
          <w:t>1300 60 60 24</w:t>
        </w:r>
      </w:hyperlink>
      <w:r w:rsidR="00E93A57" w:rsidRPr="00CE659A">
        <w:rPr>
          <w:rFonts w:cs="Arial"/>
          <w:color w:val="000000" w:themeColor="text1"/>
          <w:lang w:val="id" w:eastAsia="en-GB"/>
        </w:rPr>
        <w:t> – untuk nasihat kesehatan secara rahasia dari perawat terdaftar, 24 jam per hari, 7 hari per minggu</w:t>
      </w:r>
    </w:p>
    <w:p w14:paraId="7DE92A09" w14:textId="77777777" w:rsidR="3E2FA79A" w:rsidRPr="00CE659A" w:rsidRDefault="00E93A57" w:rsidP="00B80D71">
      <w:pPr>
        <w:numPr>
          <w:ilvl w:val="0"/>
          <w:numId w:val="10"/>
        </w:numPr>
        <w:spacing w:beforeAutospacing="1" w:afterAutospacing="1" w:line="240" w:lineRule="auto"/>
        <w:rPr>
          <w:rFonts w:eastAsia="Arial" w:cs="Arial"/>
          <w:color w:val="000000" w:themeColor="text1"/>
          <w:szCs w:val="21"/>
        </w:rPr>
      </w:pPr>
      <w:r w:rsidRPr="00CE659A">
        <w:rPr>
          <w:rFonts w:eastAsia="Arial" w:cs="Arial"/>
          <w:color w:val="000000" w:themeColor="text1"/>
          <w:szCs w:val="21"/>
          <w:lang w:val="id"/>
        </w:rPr>
        <w:t>Melbourne Sexual Health Centre Tel. (03) 9341 6200 atau 1800 032 017 atau TTY (untuk yang pendengarannya terganggu) (03) 9347 8619</w:t>
      </w:r>
    </w:p>
    <w:p w14:paraId="74FEA163" w14:textId="77777777" w:rsidR="3E2FA79A" w:rsidRPr="00CE659A" w:rsidRDefault="00E93A57" w:rsidP="00B80D71">
      <w:pPr>
        <w:pStyle w:val="ListParagraph"/>
        <w:numPr>
          <w:ilvl w:val="0"/>
          <w:numId w:val="10"/>
        </w:numPr>
        <w:spacing w:beforeAutospacing="1" w:afterAutospacing="1" w:line="240" w:lineRule="auto"/>
        <w:rPr>
          <w:rFonts w:eastAsia="Arial" w:cs="Arial"/>
          <w:color w:val="000000" w:themeColor="text1"/>
          <w:szCs w:val="21"/>
        </w:rPr>
      </w:pPr>
      <w:r w:rsidRPr="00CE659A">
        <w:rPr>
          <w:rFonts w:eastAsia="Arial" w:cs="Arial"/>
          <w:color w:val="000000" w:themeColor="text1"/>
          <w:szCs w:val="21"/>
          <w:lang w:val="id"/>
        </w:rPr>
        <w:t>Thorne Harbour Health Tel. (03) 9865 6700 atau 1800 134 840</w:t>
      </w:r>
    </w:p>
    <w:p w14:paraId="6782588F" w14:textId="77777777" w:rsidR="3E2FA79A" w:rsidRPr="001B3DC5" w:rsidRDefault="00E93A57" w:rsidP="00B80D71">
      <w:pPr>
        <w:pStyle w:val="ListParagraph"/>
        <w:numPr>
          <w:ilvl w:val="0"/>
          <w:numId w:val="10"/>
        </w:numPr>
        <w:spacing w:beforeAutospacing="1" w:afterAutospacing="1" w:line="240" w:lineRule="auto"/>
        <w:rPr>
          <w:rFonts w:eastAsia="Arial" w:cs="Arial"/>
          <w:color w:val="000000" w:themeColor="text1"/>
          <w:szCs w:val="21"/>
        </w:rPr>
      </w:pPr>
      <w:r w:rsidRPr="00CE659A">
        <w:rPr>
          <w:rFonts w:eastAsia="Arial" w:cs="Arial"/>
          <w:color w:val="000000" w:themeColor="text1"/>
          <w:szCs w:val="21"/>
          <w:lang w:val="id"/>
        </w:rPr>
        <w:t>Layanan konseling dan bantuan tersedia melalui dokter umum atau layanan kesehatan Anda. Untuk informasi lebih lanjut, kunjungi</w:t>
      </w:r>
      <w:r w:rsidRPr="001B3DC5">
        <w:rPr>
          <w:rFonts w:eastAsia="Arial" w:cs="Arial"/>
          <w:color w:val="000000" w:themeColor="text1"/>
          <w:szCs w:val="21"/>
          <w:lang w:val="id"/>
        </w:rPr>
        <w:t xml:space="preserve">: </w:t>
      </w:r>
      <w:hyperlink r:id="rId20" w:history="1">
        <w:r w:rsidR="00B80D71" w:rsidRPr="001B3DC5">
          <w:rPr>
            <w:rStyle w:val="Hyperlink"/>
            <w:rFonts w:eastAsia="Arial" w:cs="Arial"/>
            <w:szCs w:val="21"/>
            <w:lang w:val="id"/>
          </w:rPr>
          <w:t>https://www.betterhealth.vic.gov.au/mental-health-and-wellbeing-hubs</w:t>
        </w:r>
      </w:hyperlink>
    </w:p>
    <w:p w14:paraId="0E8C610F" w14:textId="77777777" w:rsidR="0E43994D" w:rsidRDefault="0E43994D" w:rsidP="76CA397E">
      <w:pPr>
        <w:spacing w:beforeAutospacing="1" w:afterAutospacing="1" w:line="240" w:lineRule="auto"/>
        <w:rPr>
          <w:szCs w:val="21"/>
          <w:lang w:eastAsia="en-GB"/>
        </w:rPr>
      </w:pPr>
    </w:p>
    <w:p w14:paraId="3A7440A2" w14:textId="77777777" w:rsidR="00640E79" w:rsidRPr="00ED035E" w:rsidRDefault="00640E79" w:rsidP="00ED035E">
      <w:pPr>
        <w:pStyle w:val="paragraph"/>
        <w:shd w:val="clear" w:color="auto" w:fill="FFFFFF"/>
        <w:spacing w:before="0" w:beforeAutospacing="0" w:after="0" w:afterAutospacing="0"/>
        <w:textAlignment w:val="baseline"/>
        <w:rPr>
          <w:rFonts w:ascii="Arial" w:hAnsi="Arial" w:cs="Arial"/>
          <w:sz w:val="21"/>
          <w:szCs w:val="21"/>
        </w:rPr>
      </w:pPr>
    </w:p>
    <w:tbl>
      <w:tblPr>
        <w:tblStyle w:val="TableGrid"/>
        <w:tblW w:w="0" w:type="auto"/>
        <w:tblCellMar>
          <w:bottom w:w="108" w:type="dxa"/>
        </w:tblCellMar>
        <w:tblLook w:val="0600" w:firstRow="0" w:lastRow="0" w:firstColumn="0" w:lastColumn="0" w:noHBand="1" w:noVBand="1"/>
      </w:tblPr>
      <w:tblGrid>
        <w:gridCol w:w="10194"/>
      </w:tblGrid>
      <w:tr w:rsidR="004254F4" w14:paraId="3BB43072" w14:textId="77777777" w:rsidTr="76CA397E">
        <w:tc>
          <w:tcPr>
            <w:tcW w:w="10194" w:type="dxa"/>
          </w:tcPr>
          <w:p w14:paraId="18E06BEF" w14:textId="77777777" w:rsidR="0055119B" w:rsidRPr="0055119B" w:rsidRDefault="00E93A57" w:rsidP="00E33237">
            <w:pPr>
              <w:pStyle w:val="Imprint"/>
            </w:pPr>
            <w:bookmarkStart w:id="14" w:name="_Hlk37240926"/>
            <w:r w:rsidRPr="0055119B">
              <w:rPr>
                <w:lang w:val="id"/>
              </w:rPr>
              <w:t>Authorised and published by the Victorian Government, 1 Treasury Place, Melbourne.</w:t>
            </w:r>
          </w:p>
          <w:p w14:paraId="74996492" w14:textId="77777777" w:rsidR="0055119B" w:rsidRDefault="00E93A57" w:rsidP="00E33237">
            <w:pPr>
              <w:pStyle w:val="Imprint"/>
            </w:pPr>
            <w:r>
              <w:rPr>
                <w:lang w:val="id"/>
              </w:rPr>
              <w:t>© State of Victoria, Australia, Department of Health, October 2022.</w:t>
            </w:r>
          </w:p>
        </w:tc>
      </w:tr>
    </w:tbl>
    <w:bookmarkEnd w:id="14"/>
    <w:p w14:paraId="0AB3658D" w14:textId="77777777" w:rsidR="00162CA9" w:rsidRDefault="00E93A57" w:rsidP="00162CA9">
      <w:pPr>
        <w:pStyle w:val="Body"/>
      </w:pPr>
      <w:r>
        <w:t xml:space="preserve"> </w:t>
      </w:r>
    </w:p>
    <w:sectPr w:rsidR="00162CA9" w:rsidSect="00E62622">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400CC" w14:textId="77777777" w:rsidR="001A521B" w:rsidRDefault="001A521B">
      <w:pPr>
        <w:spacing w:after="0" w:line="240" w:lineRule="auto"/>
      </w:pPr>
      <w:r>
        <w:separator/>
      </w:r>
    </w:p>
  </w:endnote>
  <w:endnote w:type="continuationSeparator" w:id="0">
    <w:p w14:paraId="0D3C4DB4" w14:textId="77777777" w:rsidR="001A521B" w:rsidRDefault="001A5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B0500000000000000"/>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59ED3D18-9AF6-4BDE-8FFE-D4BCC8FFED16}"/>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989D3" w14:textId="77777777" w:rsidR="00E261B3" w:rsidRPr="00F65AA9" w:rsidRDefault="00E93A57" w:rsidP="00F84FA0">
    <w:pPr>
      <w:pStyle w:val="Footer"/>
    </w:pPr>
    <w:r>
      <w:rPr>
        <w:noProof/>
        <w:lang w:val="en-US" w:eastAsia="zh-CN"/>
      </w:rPr>
      <w:drawing>
        <wp:anchor distT="0" distB="0" distL="114300" distR="114300" simplePos="0" relativeHeight="251662336" behindDoc="1" locked="1" layoutInCell="1" allowOverlap="1" wp14:anchorId="5F59FAEB" wp14:editId="19FBFFFC">
          <wp:simplePos x="0" y="0"/>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573382"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zh-CN"/>
      </w:rPr>
      <mc:AlternateContent>
        <mc:Choice Requires="wps">
          <w:drawing>
            <wp:anchor distT="0" distB="0" distL="114300" distR="114300" simplePos="0" relativeHeight="251658240" behindDoc="0" locked="0" layoutInCell="0" allowOverlap="1" wp14:anchorId="73982EA0" wp14:editId="3041A64A">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9DCCC1" w14:textId="77777777" w:rsidR="00E261B3" w:rsidRPr="00B21F90" w:rsidRDefault="00E93A57" w:rsidP="00B21F90">
                          <w:pPr>
                            <w:spacing w:after="0"/>
                            <w:jc w:val="center"/>
                            <w:rPr>
                              <w:rFonts w:ascii="Arial Black" w:hAnsi="Arial Black"/>
                              <w:color w:val="000000"/>
                              <w:sz w:val="20"/>
                            </w:rPr>
                          </w:pPr>
                          <w:r w:rsidRPr="00B21F90">
                            <w:rPr>
                              <w:rFonts w:ascii="Arial Black" w:hAnsi="Arial Black"/>
                              <w:color w:val="000000"/>
                              <w:sz w:val="20"/>
                              <w:lang w:val="id"/>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3982EA0"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" o:allowincell="f" filled="f" stroked="f" strokeweight=".5pt">
              <v:textbox inset=",0,,0">
                <w:txbxContent>
                  <w:p w14:paraId="639DCCC1" w14:textId="77777777" w:rsidR="00E261B3" w:rsidRPr="00B21F90" w:rsidRDefault="00E93A57" w:rsidP="00B21F90">
                    <w:pPr>
                      <w:spacing w:after="0"/>
                      <w:jc w:val="center"/>
                      <w:rPr>
                        <w:rFonts w:ascii="Arial Black" w:hAnsi="Arial Black"/>
                        <w:color w:val="000000"/>
                        <w:sz w:val="20"/>
                      </w:rPr>
                    </w:pPr>
                    <w:r w:rsidRPr="00B21F90">
                      <w:rPr>
                        <w:rFonts w:ascii="Arial Black" w:hAnsi="Arial Black"/>
                        <w:color w:val="000000"/>
                        <w:sz w:val="20"/>
                        <w:lang w:val="id"/>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D1AD3" w14:textId="77777777" w:rsidR="00E261B3" w:rsidRDefault="00E93A57">
    <w:pPr>
      <w:pStyle w:val="Footer"/>
    </w:pPr>
    <w:r>
      <w:rPr>
        <w:noProof/>
        <w:lang w:val="en-US" w:eastAsia="zh-CN"/>
      </w:rPr>
      <mc:AlternateContent>
        <mc:Choice Requires="wps">
          <w:drawing>
            <wp:anchor distT="0" distB="0" distL="114300" distR="114300" simplePos="0" relativeHeight="251660288" behindDoc="0" locked="0" layoutInCell="0" allowOverlap="1" wp14:anchorId="61952997" wp14:editId="3269755A">
              <wp:simplePos x="0" y="0"/>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CF2BC9" w14:textId="77777777" w:rsidR="00E261B3" w:rsidRPr="00B21F90" w:rsidRDefault="00E93A57" w:rsidP="00B21F90">
                          <w:pPr>
                            <w:spacing w:after="0"/>
                            <w:jc w:val="center"/>
                            <w:rPr>
                              <w:rFonts w:ascii="Arial Black" w:hAnsi="Arial Black"/>
                              <w:color w:val="000000"/>
                              <w:sz w:val="20"/>
                            </w:rPr>
                          </w:pPr>
                          <w:r w:rsidRPr="00B21F90">
                            <w:rPr>
                              <w:rFonts w:ascii="Arial Black" w:hAnsi="Arial Black"/>
                              <w:color w:val="000000"/>
                              <w:sz w:val="20"/>
                              <w:lang w:val="id"/>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1952997"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" o:allowincell="f" filled="f" stroked="f" strokeweight=".5pt">
              <v:textbox inset=",0,,0">
                <w:txbxContent>
                  <w:p w14:paraId="18CF2BC9" w14:textId="77777777" w:rsidR="00E261B3" w:rsidRPr="00B21F90" w:rsidRDefault="00E93A57" w:rsidP="00B21F90">
                    <w:pPr>
                      <w:spacing w:after="0"/>
                      <w:jc w:val="center"/>
                      <w:rPr>
                        <w:rFonts w:ascii="Arial Black" w:hAnsi="Arial Black"/>
                        <w:color w:val="000000"/>
                        <w:sz w:val="20"/>
                      </w:rPr>
                    </w:pPr>
                    <w:r w:rsidRPr="00B21F90">
                      <w:rPr>
                        <w:rFonts w:ascii="Arial Black" w:hAnsi="Arial Black"/>
                        <w:color w:val="000000"/>
                        <w:sz w:val="20"/>
                        <w:lang w:val="id"/>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56FF5" w14:textId="77777777" w:rsidR="00373890" w:rsidRPr="00F65AA9" w:rsidRDefault="00E93A57" w:rsidP="00F84FA0">
    <w:pPr>
      <w:pStyle w:val="Footer"/>
    </w:pPr>
    <w:r>
      <w:rPr>
        <w:noProof/>
        <w:lang w:val="en-US" w:eastAsia="zh-CN"/>
      </w:rPr>
      <mc:AlternateContent>
        <mc:Choice Requires="wps">
          <w:drawing>
            <wp:anchor distT="0" distB="0" distL="114300" distR="114300" simplePos="0" relativeHeight="251665408" behindDoc="0" locked="0" layoutInCell="0" allowOverlap="1" wp14:anchorId="12C7BBF7" wp14:editId="1382A409">
              <wp:simplePos x="0" y="0"/>
              <wp:positionH relativeFrom="page">
                <wp:posOffset>0</wp:posOffset>
              </wp:positionH>
              <wp:positionV relativeFrom="page">
                <wp:posOffset>10189210</wp:posOffset>
              </wp:positionV>
              <wp:extent cx="7560310" cy="311785"/>
              <wp:effectExtent l="0" t="0" r="0" b="12065"/>
              <wp:wrapNone/>
              <wp:docPr id="3" name="MSIPCM8fec4f84bfd034c9548f789a"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AB93FB" w14:textId="77777777" w:rsidR="00B4078D" w:rsidRPr="00B4078D" w:rsidRDefault="00E93A57" w:rsidP="00B4078D">
                          <w:pPr>
                            <w:spacing w:after="0"/>
                            <w:jc w:val="center"/>
                            <w:rPr>
                              <w:rFonts w:ascii="Arial Black" w:hAnsi="Arial Black"/>
                              <w:color w:val="000000"/>
                              <w:sz w:val="20"/>
                            </w:rPr>
                          </w:pPr>
                          <w:r w:rsidRPr="00B4078D">
                            <w:rPr>
                              <w:rFonts w:ascii="Arial Black" w:hAnsi="Arial Black"/>
                              <w:color w:val="000000"/>
                              <w:sz w:val="20"/>
                              <w:lang w:val="id"/>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2C7BBF7" id="_x0000_t202" coordsize="21600,21600" o:spt="202" path="m,l,21600r21600,l21600,xe">
              <v:stroke joinstyle="miter"/>
              <v:path gradientshapeok="t" o:connecttype="rect"/>
            </v:shapetype>
            <v:shape id="MSIPCM8fec4f84bfd034c9548f789a"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" o:allowincell="f" filled="f" stroked="f" strokeweight=".5pt">
              <v:textbox inset=",0,,0">
                <w:txbxContent>
                  <w:p w14:paraId="5BAB93FB" w14:textId="77777777" w:rsidR="00B4078D" w:rsidRPr="00B4078D" w:rsidRDefault="00E93A57" w:rsidP="00B4078D">
                    <w:pPr>
                      <w:spacing w:after="0"/>
                      <w:jc w:val="center"/>
                      <w:rPr>
                        <w:rFonts w:ascii="Arial Black" w:hAnsi="Arial Black"/>
                        <w:color w:val="000000"/>
                        <w:sz w:val="20"/>
                      </w:rPr>
                    </w:pPr>
                    <w:r w:rsidRPr="00B4078D">
                      <w:rPr>
                        <w:rFonts w:ascii="Arial Black" w:hAnsi="Arial Black"/>
                        <w:color w:val="000000"/>
                        <w:sz w:val="20"/>
                        <w:lang w:val="id"/>
                      </w:rPr>
                      <w:t>OFFICIAL</w:t>
                    </w:r>
                  </w:p>
                </w:txbxContent>
              </v:textbox>
              <w10:wrap anchorx="page" anchory="page"/>
            </v:shape>
          </w:pict>
        </mc:Fallback>
      </mc:AlternateContent>
    </w:r>
    <w:r w:rsidR="00B07FF7">
      <w:rPr>
        <w:noProof/>
        <w:lang w:val="en-US" w:eastAsia="zh-CN"/>
      </w:rPr>
      <mc:AlternateContent>
        <mc:Choice Requires="wps">
          <w:drawing>
            <wp:anchor distT="0" distB="0" distL="114300" distR="114300" simplePos="0" relativeHeight="251663360" behindDoc="0" locked="0" layoutInCell="0" allowOverlap="1" wp14:anchorId="15DBB4AE" wp14:editId="28AF2EA9">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B9CAC4" w14:textId="77777777" w:rsidR="00B07FF7" w:rsidRPr="00B07FF7" w:rsidRDefault="00E93A57" w:rsidP="00B07FF7">
                          <w:pPr>
                            <w:spacing w:after="0"/>
                            <w:jc w:val="center"/>
                            <w:rPr>
                              <w:rFonts w:ascii="Arial Black" w:hAnsi="Arial Black"/>
                              <w:color w:val="000000"/>
                              <w:sz w:val="20"/>
                            </w:rPr>
                          </w:pPr>
                          <w:r w:rsidRPr="00B07FF7">
                            <w:rPr>
                              <w:rFonts w:ascii="Arial Black" w:hAnsi="Arial Black"/>
                              <w:color w:val="000000"/>
                              <w:sz w:val="20"/>
                              <w:lang w:val="id"/>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DBB4AE"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" o:allowincell="f" filled="f" stroked="f" strokeweight=".5pt">
              <v:textbox inset=",0,,0">
                <w:txbxContent>
                  <w:p w14:paraId="50B9CAC4" w14:textId="77777777" w:rsidR="00B07FF7" w:rsidRPr="00B07FF7" w:rsidRDefault="00E93A57" w:rsidP="00B07FF7">
                    <w:pPr>
                      <w:spacing w:after="0"/>
                      <w:jc w:val="center"/>
                      <w:rPr>
                        <w:rFonts w:ascii="Arial Black" w:hAnsi="Arial Black"/>
                        <w:color w:val="000000"/>
                        <w:sz w:val="20"/>
                      </w:rPr>
                    </w:pPr>
                    <w:r w:rsidRPr="00B07FF7">
                      <w:rPr>
                        <w:rFonts w:ascii="Arial Black" w:hAnsi="Arial Black"/>
                        <w:color w:val="000000"/>
                        <w:sz w:val="20"/>
                        <w:lang w:val="id"/>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A4221" w14:textId="77777777" w:rsidR="001A521B" w:rsidRDefault="001A521B">
      <w:pPr>
        <w:spacing w:after="0" w:line="240" w:lineRule="auto"/>
      </w:pPr>
      <w:r>
        <w:separator/>
      </w:r>
    </w:p>
  </w:footnote>
  <w:footnote w:type="continuationSeparator" w:id="0">
    <w:p w14:paraId="2306E12B" w14:textId="77777777" w:rsidR="001A521B" w:rsidRDefault="001A5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CF012"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ECB5010"/>
    <w:multiLevelType w:val="multilevel"/>
    <w:tmpl w:val="914CBE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672CDBB4"/>
    <w:multiLevelType w:val="hybridMultilevel"/>
    <w:tmpl w:val="E2F44C72"/>
    <w:lvl w:ilvl="0" w:tplc="0FFCB8A8">
      <w:start w:val="1"/>
      <w:numFmt w:val="bullet"/>
      <w:lvlText w:val=""/>
      <w:lvlJc w:val="left"/>
      <w:pPr>
        <w:ind w:left="720" w:hanging="360"/>
      </w:pPr>
      <w:rPr>
        <w:rFonts w:ascii="Symbol" w:hAnsi="Symbol" w:hint="default"/>
      </w:rPr>
    </w:lvl>
    <w:lvl w:ilvl="1" w:tplc="A558A4F0">
      <w:start w:val="1"/>
      <w:numFmt w:val="bullet"/>
      <w:lvlText w:val="o"/>
      <w:lvlJc w:val="left"/>
      <w:pPr>
        <w:ind w:left="1440" w:hanging="360"/>
      </w:pPr>
      <w:rPr>
        <w:rFonts w:ascii="Courier New" w:hAnsi="Courier New" w:hint="default"/>
      </w:rPr>
    </w:lvl>
    <w:lvl w:ilvl="2" w:tplc="3A7C0E56">
      <w:start w:val="1"/>
      <w:numFmt w:val="bullet"/>
      <w:lvlText w:val=""/>
      <w:lvlJc w:val="left"/>
      <w:pPr>
        <w:ind w:left="2160" w:hanging="360"/>
      </w:pPr>
      <w:rPr>
        <w:rFonts w:ascii="Wingdings" w:hAnsi="Wingdings" w:hint="default"/>
      </w:rPr>
    </w:lvl>
    <w:lvl w:ilvl="3" w:tplc="56EE39DC">
      <w:start w:val="1"/>
      <w:numFmt w:val="bullet"/>
      <w:lvlText w:val=""/>
      <w:lvlJc w:val="left"/>
      <w:pPr>
        <w:ind w:left="2880" w:hanging="360"/>
      </w:pPr>
      <w:rPr>
        <w:rFonts w:ascii="Symbol" w:hAnsi="Symbol" w:hint="default"/>
      </w:rPr>
    </w:lvl>
    <w:lvl w:ilvl="4" w:tplc="09CE75C4">
      <w:start w:val="1"/>
      <w:numFmt w:val="bullet"/>
      <w:lvlText w:val="o"/>
      <w:lvlJc w:val="left"/>
      <w:pPr>
        <w:ind w:left="3600" w:hanging="360"/>
      </w:pPr>
      <w:rPr>
        <w:rFonts w:ascii="Courier New" w:hAnsi="Courier New" w:hint="default"/>
      </w:rPr>
    </w:lvl>
    <w:lvl w:ilvl="5" w:tplc="64A21294">
      <w:start w:val="1"/>
      <w:numFmt w:val="bullet"/>
      <w:lvlText w:val=""/>
      <w:lvlJc w:val="left"/>
      <w:pPr>
        <w:ind w:left="4320" w:hanging="360"/>
      </w:pPr>
      <w:rPr>
        <w:rFonts w:ascii="Wingdings" w:hAnsi="Wingdings" w:hint="default"/>
      </w:rPr>
    </w:lvl>
    <w:lvl w:ilvl="6" w:tplc="35682B06">
      <w:start w:val="1"/>
      <w:numFmt w:val="bullet"/>
      <w:lvlText w:val=""/>
      <w:lvlJc w:val="left"/>
      <w:pPr>
        <w:ind w:left="5040" w:hanging="360"/>
      </w:pPr>
      <w:rPr>
        <w:rFonts w:ascii="Symbol" w:hAnsi="Symbol" w:hint="default"/>
      </w:rPr>
    </w:lvl>
    <w:lvl w:ilvl="7" w:tplc="D7B610B0">
      <w:start w:val="1"/>
      <w:numFmt w:val="bullet"/>
      <w:lvlText w:val="o"/>
      <w:lvlJc w:val="left"/>
      <w:pPr>
        <w:ind w:left="5760" w:hanging="360"/>
      </w:pPr>
      <w:rPr>
        <w:rFonts w:ascii="Courier New" w:hAnsi="Courier New" w:hint="default"/>
      </w:rPr>
    </w:lvl>
    <w:lvl w:ilvl="8" w:tplc="6E5AEDE8">
      <w:start w:val="1"/>
      <w:numFmt w:val="bullet"/>
      <w:lvlText w:val=""/>
      <w:lvlJc w:val="left"/>
      <w:pPr>
        <w:ind w:left="6480" w:hanging="360"/>
      </w:pPr>
      <w:rPr>
        <w:rFonts w:ascii="Wingdings" w:hAnsi="Wingdings" w:hint="default"/>
      </w:rPr>
    </w:lvl>
  </w:abstractNum>
  <w:abstractNum w:abstractNumId="8" w15:restartNumberingAfterBreak="0">
    <w:nsid w:val="6CEB5446"/>
    <w:multiLevelType w:val="multilevel"/>
    <w:tmpl w:val="99B4161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47217F"/>
    <w:multiLevelType w:val="multilevel"/>
    <w:tmpl w:val="9572C2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4"/>
  </w:num>
  <w:num w:numId="4">
    <w:abstractNumId w:val="3"/>
  </w:num>
  <w:num w:numId="5">
    <w:abstractNumId w:val="6"/>
  </w:num>
  <w:num w:numId="6">
    <w:abstractNumId w:val="2"/>
  </w:num>
  <w:num w:numId="7">
    <w:abstractNumId w:val="0"/>
  </w:num>
  <w:num w:numId="8">
    <w:abstractNumId w:val="5"/>
  </w:num>
  <w:num w:numId="9">
    <w:abstractNumId w:val="9"/>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TrueTypeFonts/>
  <w:saveSubsetFonts/>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283"/>
  <w:drawingGridHorizontalSpacing w:val="181"/>
  <w:drawingGridVerticalSpacing w:val="181"/>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0C3"/>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42CB"/>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1C9D"/>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31E"/>
    <w:rsid w:val="00177995"/>
    <w:rsid w:val="00177A8C"/>
    <w:rsid w:val="00186B33"/>
    <w:rsid w:val="00192F9D"/>
    <w:rsid w:val="00196EB8"/>
    <w:rsid w:val="00196EFB"/>
    <w:rsid w:val="001979FF"/>
    <w:rsid w:val="00197B17"/>
    <w:rsid w:val="001A1950"/>
    <w:rsid w:val="001A1C54"/>
    <w:rsid w:val="001A3ACE"/>
    <w:rsid w:val="001A521B"/>
    <w:rsid w:val="001B058F"/>
    <w:rsid w:val="001B3DC5"/>
    <w:rsid w:val="001B42CE"/>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D7D39"/>
    <w:rsid w:val="002E01D0"/>
    <w:rsid w:val="002E048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1EBE"/>
    <w:rsid w:val="003459BD"/>
    <w:rsid w:val="00350D38"/>
    <w:rsid w:val="00351B36"/>
    <w:rsid w:val="00356314"/>
    <w:rsid w:val="00357B4E"/>
    <w:rsid w:val="00363E24"/>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02"/>
    <w:rsid w:val="003D3E8F"/>
    <w:rsid w:val="003D6475"/>
    <w:rsid w:val="003E375C"/>
    <w:rsid w:val="003E4086"/>
    <w:rsid w:val="003E639E"/>
    <w:rsid w:val="003E71E5"/>
    <w:rsid w:val="003F0445"/>
    <w:rsid w:val="003F0CF0"/>
    <w:rsid w:val="003F14B1"/>
    <w:rsid w:val="003F2B20"/>
    <w:rsid w:val="003F30C3"/>
    <w:rsid w:val="003F3289"/>
    <w:rsid w:val="003F589D"/>
    <w:rsid w:val="003F5CB9"/>
    <w:rsid w:val="004013C7"/>
    <w:rsid w:val="00401FCF"/>
    <w:rsid w:val="0040248F"/>
    <w:rsid w:val="00402916"/>
    <w:rsid w:val="00406285"/>
    <w:rsid w:val="004112C6"/>
    <w:rsid w:val="004148F9"/>
    <w:rsid w:val="00414D4A"/>
    <w:rsid w:val="0042076F"/>
    <w:rsid w:val="0042084E"/>
    <w:rsid w:val="00421EEF"/>
    <w:rsid w:val="0042486E"/>
    <w:rsid w:val="00424D65"/>
    <w:rsid w:val="004254F4"/>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0CF5"/>
    <w:rsid w:val="00483968"/>
    <w:rsid w:val="00484F86"/>
    <w:rsid w:val="0048519C"/>
    <w:rsid w:val="00490746"/>
    <w:rsid w:val="00490852"/>
    <w:rsid w:val="00491C9C"/>
    <w:rsid w:val="00492F30"/>
    <w:rsid w:val="004946F4"/>
    <w:rsid w:val="0049487E"/>
    <w:rsid w:val="004A160D"/>
    <w:rsid w:val="004A3E81"/>
    <w:rsid w:val="004A4195"/>
    <w:rsid w:val="004A5C62"/>
    <w:rsid w:val="004A5CE5"/>
    <w:rsid w:val="004A707D"/>
    <w:rsid w:val="004C00A5"/>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21A1"/>
    <w:rsid w:val="00592BB8"/>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E6362"/>
    <w:rsid w:val="005E68B8"/>
    <w:rsid w:val="005F0775"/>
    <w:rsid w:val="005F0CF5"/>
    <w:rsid w:val="005F21EB"/>
    <w:rsid w:val="005F44C0"/>
    <w:rsid w:val="00605908"/>
    <w:rsid w:val="00610D7C"/>
    <w:rsid w:val="00613414"/>
    <w:rsid w:val="00615FF3"/>
    <w:rsid w:val="00620154"/>
    <w:rsid w:val="0062408D"/>
    <w:rsid w:val="006240CC"/>
    <w:rsid w:val="00624940"/>
    <w:rsid w:val="006254F8"/>
    <w:rsid w:val="00627DA7"/>
    <w:rsid w:val="00630DA4"/>
    <w:rsid w:val="00632597"/>
    <w:rsid w:val="006358B4"/>
    <w:rsid w:val="00640E79"/>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6A83"/>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D4AA5"/>
    <w:rsid w:val="006E0541"/>
    <w:rsid w:val="006E138B"/>
    <w:rsid w:val="006F0330"/>
    <w:rsid w:val="006F1FDC"/>
    <w:rsid w:val="006F6B8C"/>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50D"/>
    <w:rsid w:val="0073582E"/>
    <w:rsid w:val="00740F22"/>
    <w:rsid w:val="00741CF0"/>
    <w:rsid w:val="00741F1A"/>
    <w:rsid w:val="007447DA"/>
    <w:rsid w:val="007450F8"/>
    <w:rsid w:val="0074696E"/>
    <w:rsid w:val="00750135"/>
    <w:rsid w:val="00750EC2"/>
    <w:rsid w:val="00752B28"/>
    <w:rsid w:val="007536C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521E"/>
    <w:rsid w:val="00796E20"/>
    <w:rsid w:val="00797C32"/>
    <w:rsid w:val="007A11E8"/>
    <w:rsid w:val="007B0914"/>
    <w:rsid w:val="007B1374"/>
    <w:rsid w:val="007B32E5"/>
    <w:rsid w:val="007B3DB9"/>
    <w:rsid w:val="007B589F"/>
    <w:rsid w:val="007B6186"/>
    <w:rsid w:val="007B73BC"/>
    <w:rsid w:val="007C028A"/>
    <w:rsid w:val="007C1838"/>
    <w:rsid w:val="007C20B9"/>
    <w:rsid w:val="007C3510"/>
    <w:rsid w:val="007C7301"/>
    <w:rsid w:val="007C7859"/>
    <w:rsid w:val="007C7F28"/>
    <w:rsid w:val="007D1466"/>
    <w:rsid w:val="007D2BDE"/>
    <w:rsid w:val="007D2FB6"/>
    <w:rsid w:val="007D49EB"/>
    <w:rsid w:val="007D5E1C"/>
    <w:rsid w:val="007E0DE2"/>
    <w:rsid w:val="007E1227"/>
    <w:rsid w:val="007E3B98"/>
    <w:rsid w:val="007E417A"/>
    <w:rsid w:val="007E4D22"/>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1729"/>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4D8"/>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B73D3"/>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3CFE"/>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C74B5"/>
    <w:rsid w:val="00AD07D0"/>
    <w:rsid w:val="00AD0CBA"/>
    <w:rsid w:val="00AD177A"/>
    <w:rsid w:val="00AD26E2"/>
    <w:rsid w:val="00AD6239"/>
    <w:rsid w:val="00AD784C"/>
    <w:rsid w:val="00AE126A"/>
    <w:rsid w:val="00AE1BAE"/>
    <w:rsid w:val="00AE3005"/>
    <w:rsid w:val="00AE3BD5"/>
    <w:rsid w:val="00AE59A0"/>
    <w:rsid w:val="00AF0C57"/>
    <w:rsid w:val="00AF26F3"/>
    <w:rsid w:val="00AF4941"/>
    <w:rsid w:val="00AF5F04"/>
    <w:rsid w:val="00B00672"/>
    <w:rsid w:val="00B01B4D"/>
    <w:rsid w:val="00B06571"/>
    <w:rsid w:val="00B068BA"/>
    <w:rsid w:val="00B07FF7"/>
    <w:rsid w:val="00B125B0"/>
    <w:rsid w:val="00B13851"/>
    <w:rsid w:val="00B13B1C"/>
    <w:rsid w:val="00B14780"/>
    <w:rsid w:val="00B21F90"/>
    <w:rsid w:val="00B22291"/>
    <w:rsid w:val="00B23F9A"/>
    <w:rsid w:val="00B2417B"/>
    <w:rsid w:val="00B24E6F"/>
    <w:rsid w:val="00B26CB5"/>
    <w:rsid w:val="00B2752E"/>
    <w:rsid w:val="00B307CC"/>
    <w:rsid w:val="00B326B7"/>
    <w:rsid w:val="00B3588E"/>
    <w:rsid w:val="00B4078D"/>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80D71"/>
    <w:rsid w:val="00B90729"/>
    <w:rsid w:val="00B907DA"/>
    <w:rsid w:val="00B94CD5"/>
    <w:rsid w:val="00B950BC"/>
    <w:rsid w:val="00B953E1"/>
    <w:rsid w:val="00B9714C"/>
    <w:rsid w:val="00BA29AD"/>
    <w:rsid w:val="00BA33CF"/>
    <w:rsid w:val="00BA3F8D"/>
    <w:rsid w:val="00BB7A10"/>
    <w:rsid w:val="00BC3E8F"/>
    <w:rsid w:val="00BC50C9"/>
    <w:rsid w:val="00BC60BE"/>
    <w:rsid w:val="00BC7468"/>
    <w:rsid w:val="00BC7D4F"/>
    <w:rsid w:val="00BC7ED7"/>
    <w:rsid w:val="00BD2850"/>
    <w:rsid w:val="00BD5A36"/>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E5A05"/>
    <w:rsid w:val="00CE659A"/>
    <w:rsid w:val="00CF2F50"/>
    <w:rsid w:val="00CF6198"/>
    <w:rsid w:val="00D02919"/>
    <w:rsid w:val="00D04C61"/>
    <w:rsid w:val="00D05B8D"/>
    <w:rsid w:val="00D065A2"/>
    <w:rsid w:val="00D079AA"/>
    <w:rsid w:val="00D07F00"/>
    <w:rsid w:val="00D1130F"/>
    <w:rsid w:val="00D17B72"/>
    <w:rsid w:val="00D3185C"/>
    <w:rsid w:val="00D3205F"/>
    <w:rsid w:val="00D3318E"/>
    <w:rsid w:val="00D33CBE"/>
    <w:rsid w:val="00D33E72"/>
    <w:rsid w:val="00D35BD6"/>
    <w:rsid w:val="00D361B5"/>
    <w:rsid w:val="00D405AC"/>
    <w:rsid w:val="00D411A2"/>
    <w:rsid w:val="00D424F4"/>
    <w:rsid w:val="00D4606D"/>
    <w:rsid w:val="00D46C92"/>
    <w:rsid w:val="00D50B9C"/>
    <w:rsid w:val="00D52D73"/>
    <w:rsid w:val="00D52E58"/>
    <w:rsid w:val="00D55EE4"/>
    <w:rsid w:val="00D56B20"/>
    <w:rsid w:val="00D578B3"/>
    <w:rsid w:val="00D618F4"/>
    <w:rsid w:val="00D714CC"/>
    <w:rsid w:val="00D75EA7"/>
    <w:rsid w:val="00D81ADF"/>
    <w:rsid w:val="00D81F21"/>
    <w:rsid w:val="00D864F2"/>
    <w:rsid w:val="00D92F95"/>
    <w:rsid w:val="00D943F8"/>
    <w:rsid w:val="00D94E4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C6BE7"/>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49E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93A57"/>
    <w:rsid w:val="00EA1360"/>
    <w:rsid w:val="00EA2F6A"/>
    <w:rsid w:val="00EB00E0"/>
    <w:rsid w:val="00EC059F"/>
    <w:rsid w:val="00EC1F24"/>
    <w:rsid w:val="00EC22F6"/>
    <w:rsid w:val="00EC40D5"/>
    <w:rsid w:val="00ED035E"/>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059F2"/>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3298"/>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03AC"/>
    <w:rsid w:val="00FF2A4E"/>
    <w:rsid w:val="00FF2FCE"/>
    <w:rsid w:val="00FF4DE4"/>
    <w:rsid w:val="00FF4F7D"/>
    <w:rsid w:val="00FF54DF"/>
    <w:rsid w:val="00FF6D9D"/>
    <w:rsid w:val="00FF7DD5"/>
    <w:rsid w:val="0105F61E"/>
    <w:rsid w:val="01651645"/>
    <w:rsid w:val="027159C6"/>
    <w:rsid w:val="04736385"/>
    <w:rsid w:val="05278F63"/>
    <w:rsid w:val="061E5DE3"/>
    <w:rsid w:val="0BDEA59B"/>
    <w:rsid w:val="0C1D9BA8"/>
    <w:rsid w:val="0E43994D"/>
    <w:rsid w:val="0F16465D"/>
    <w:rsid w:val="143FEBA4"/>
    <w:rsid w:val="195BC064"/>
    <w:rsid w:val="1BB6BF21"/>
    <w:rsid w:val="1DAA0E34"/>
    <w:rsid w:val="1FB41DAE"/>
    <w:rsid w:val="2006F351"/>
    <w:rsid w:val="226BF86F"/>
    <w:rsid w:val="25D51CCA"/>
    <w:rsid w:val="2C814A76"/>
    <w:rsid w:val="2CA77D81"/>
    <w:rsid w:val="2DC05325"/>
    <w:rsid w:val="2F61A261"/>
    <w:rsid w:val="30FD72C2"/>
    <w:rsid w:val="3177A907"/>
    <w:rsid w:val="3270E162"/>
    <w:rsid w:val="349CE291"/>
    <w:rsid w:val="363A5A64"/>
    <w:rsid w:val="3753182E"/>
    <w:rsid w:val="386F1543"/>
    <w:rsid w:val="39D2ADB4"/>
    <w:rsid w:val="3E2FA79A"/>
    <w:rsid w:val="4096F687"/>
    <w:rsid w:val="43CC7494"/>
    <w:rsid w:val="44C34BFD"/>
    <w:rsid w:val="4D088208"/>
    <w:rsid w:val="519A0F31"/>
    <w:rsid w:val="51DBF32B"/>
    <w:rsid w:val="5250D838"/>
    <w:rsid w:val="53D6170C"/>
    <w:rsid w:val="551393ED"/>
    <w:rsid w:val="58053CE5"/>
    <w:rsid w:val="584B34AF"/>
    <w:rsid w:val="58769E9D"/>
    <w:rsid w:val="59A83443"/>
    <w:rsid w:val="5E7C6BEF"/>
    <w:rsid w:val="5F1632E3"/>
    <w:rsid w:val="5FBF38F2"/>
    <w:rsid w:val="600ECAA7"/>
    <w:rsid w:val="60183C50"/>
    <w:rsid w:val="615B0953"/>
    <w:rsid w:val="62F6D9B4"/>
    <w:rsid w:val="634FDD12"/>
    <w:rsid w:val="6367283C"/>
    <w:rsid w:val="6481AA49"/>
    <w:rsid w:val="666E5577"/>
    <w:rsid w:val="66877DD4"/>
    <w:rsid w:val="68234E35"/>
    <w:rsid w:val="693BF30F"/>
    <w:rsid w:val="6A24FBC1"/>
    <w:rsid w:val="6B262FA7"/>
    <w:rsid w:val="6B448A14"/>
    <w:rsid w:val="6F083471"/>
    <w:rsid w:val="6F653CC9"/>
    <w:rsid w:val="6F9166FB"/>
    <w:rsid w:val="75F7FD5F"/>
    <w:rsid w:val="76CA397E"/>
    <w:rsid w:val="77B64678"/>
    <w:rsid w:val="7AA768A5"/>
    <w:rsid w:val="7B5D3E23"/>
    <w:rsid w:val="7C91A521"/>
    <w:rsid w:val="7DE77DB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B3B99"/>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7"/>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7"/>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Menzionenonrisolta1">
    <w:name w:val="Menzione non risolta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customStyle="1" w:styleId="paragraph">
    <w:name w:val="paragraph"/>
    <w:basedOn w:val="Normal"/>
    <w:rsid w:val="00341EBE"/>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341EBE"/>
  </w:style>
  <w:style w:type="character" w:customStyle="1" w:styleId="eop">
    <w:name w:val="eop"/>
    <w:basedOn w:val="DefaultParagraphFont"/>
    <w:rsid w:val="00341EBE"/>
  </w:style>
  <w:style w:type="paragraph" w:styleId="ListParagraph">
    <w:name w:val="List Paragraph"/>
    <w:basedOn w:val="Normal"/>
    <w:uiPriority w:val="34"/>
    <w:qFormat/>
    <w:rsid w:val="00B4078D"/>
    <w:pPr>
      <w:ind w:left="720"/>
      <w:contextualSpacing/>
    </w:pPr>
  </w:style>
  <w:style w:type="character" w:customStyle="1" w:styleId="contentpasted0">
    <w:name w:val="contentpasted0"/>
    <w:basedOn w:val="DefaultParagraphFont"/>
    <w:rsid w:val="00AD6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betterhealth.vic.gov.au/health/serviceprofiles/nurse-on-call-service"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betterhealth.vic.gov.au/health/serviceprofiles/general-practitioner-services" TargetMode="External"/><Relationship Id="rId2" Type="http://schemas.openxmlformats.org/officeDocument/2006/relationships/customXml" Target="../customXml/item2.xml"/><Relationship Id="rId16" Type="http://schemas.openxmlformats.org/officeDocument/2006/relationships/hyperlink" Target="https://www.mpxvaccine.forms.health.vic.gov.au/" TargetMode="External"/><Relationship Id="rId20" Type="http://schemas.openxmlformats.org/officeDocument/2006/relationships/hyperlink" Target="https://www.betterhealth.vic.gov.au/mental-health-and-wellbeing-hub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ealth.vic.gov.au/infectious-diseases/monkeypo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tel:130060602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f9204d6-b62b-45e6-bfb8-51079c884d95">
      <UserInfo>
        <DisplayName>Min-Ho Jung (Health)</DisplayName>
        <AccountId>43</AccountId>
        <AccountType/>
      </UserInfo>
      <UserInfo>
        <DisplayName>Max Braddick (Health)</DisplayName>
        <AccountId>40</AccountId>
        <AccountType/>
      </UserInfo>
      <UserInfo>
        <DisplayName>Helen O'Brien (Health)</DisplayName>
        <AccountId>10</AccountId>
        <AccountType/>
      </UserInfo>
      <UserInfo>
        <DisplayName>Sarra Abdulatti (Health)</DisplayName>
        <AccountId>20</AccountId>
        <AccountType/>
      </UserInfo>
      <UserInfo>
        <DisplayName>Daniel Zander (Health)</DisplayName>
        <AccountId>101</AccountId>
        <AccountType/>
      </UserInfo>
      <UserInfo>
        <DisplayName>Sarah Axford (Health)</DisplayName>
        <AccountId>97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3B5FE65A092245943D29EBC73A887A" ma:contentTypeVersion="6" ma:contentTypeDescription="Create a new document." ma:contentTypeScope="" ma:versionID="28fe9bf44911c39fa140e4f2353e09a4">
  <xsd:schema xmlns:xsd="http://www.w3.org/2001/XMLSchema" xmlns:xs="http://www.w3.org/2001/XMLSchema" xmlns:p="http://schemas.microsoft.com/office/2006/metadata/properties" xmlns:ns2="aac0504e-7b44-4f77-b770-7cbe32b01118" xmlns:ns3="bf9204d6-b62b-45e6-bfb8-51079c884d95" targetNamespace="http://schemas.microsoft.com/office/2006/metadata/properties" ma:root="true" ma:fieldsID="bfa391794b7754ff8e94f9dcfce566c0" ns2:_="" ns3:_="">
    <xsd:import namespace="aac0504e-7b44-4f77-b770-7cbe32b01118"/>
    <xsd:import namespace="bf9204d6-b62b-45e6-bfb8-51079c884d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0504e-7b44-4f77-b770-7cbe32b01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9204d6-b62b-45e6-bfb8-51079c884d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bf9204d6-b62b-45e6-bfb8-51079c884d95"/>
  </ds:schemaRefs>
</ds:datastoreItem>
</file>

<file path=customXml/itemProps2.xml><?xml version="1.0" encoding="utf-8"?>
<ds:datastoreItem xmlns:ds="http://schemas.openxmlformats.org/officeDocument/2006/customXml" ds:itemID="{BE998BE3-919D-4DAA-8E49-92ABD8F0B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0504e-7b44-4f77-b770-7cbe32b01118"/>
    <ds:schemaRef ds:uri="bf9204d6-b62b-45e6-bfb8-51079c884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B1BFD684-3F9E-4528-9169-281F9A51F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1333</Words>
  <Characters>7601</Characters>
  <Application>Microsoft Office Word</Application>
  <DocSecurity>0</DocSecurity>
  <Lines>63</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Victoria State Government, Department of Health</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11</cp:revision>
  <cp:lastPrinted>2022-10-25T03:47:00Z</cp:lastPrinted>
  <dcterms:created xsi:type="dcterms:W3CDTF">2022-10-17T01:50:00Z</dcterms:created>
  <dcterms:modified xsi:type="dcterms:W3CDTF">2022-10-25T03:48:00Z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Factsheet</vt:lpwstr>
  </property>
  <property fmtid="{D5CDD505-2E9C-101B-9397-08002B2CF9AE}" pid="3" name="ComplianceAssetId">
    <vt:lpwstr/>
  </property>
  <property fmtid="{D5CDD505-2E9C-101B-9397-08002B2CF9AE}" pid="4" name="ContentTypeId">
    <vt:lpwstr>0x010100FE3B5FE65A092245943D29EBC73A887A</vt:lpwstr>
  </property>
  <property fmtid="{D5CDD505-2E9C-101B-9397-08002B2CF9AE}" pid="5" name="Days before next review">
    <vt:r8>365</vt:r8>
  </property>
  <property fmtid="{D5CDD505-2E9C-101B-9397-08002B2CF9AE}" pid="6" name="Language">
    <vt:lpwstr>English</vt:lpwstr>
  </property>
  <property fmtid="{D5CDD505-2E9C-101B-9397-08002B2CF9AE}" pid="7" name="MSIP_Label_43e64453-338c-4f93-8a4d-0039a0a41f2a_ActionId">
    <vt:lpwstr>cba812a2-3643-4b69-abe4-5b0cbaab29c3</vt:lpwstr>
  </property>
  <property fmtid="{D5CDD505-2E9C-101B-9397-08002B2CF9AE}" pid="8" name="MSIP_Label_43e64453-338c-4f93-8a4d-0039a0a41f2a_ContentBits">
    <vt:lpwstr>2</vt:lpwstr>
  </property>
  <property fmtid="{D5CDD505-2E9C-101B-9397-08002B2CF9AE}" pid="9" name="MSIP_Label_43e64453-338c-4f93-8a4d-0039a0a41f2a_Enabled">
    <vt:lpwstr>true</vt:lpwstr>
  </property>
  <property fmtid="{D5CDD505-2E9C-101B-9397-08002B2CF9AE}" pid="10" name="MSIP_Label_43e64453-338c-4f93-8a4d-0039a0a41f2a_Method">
    <vt:lpwstr>Privileged</vt:lpwstr>
  </property>
  <property fmtid="{D5CDD505-2E9C-101B-9397-08002B2CF9AE}" pid="11" name="MSIP_Label_43e64453-338c-4f93-8a4d-0039a0a41f2a_Name">
    <vt:lpwstr>43e64453-338c-4f93-8a4d-0039a0a41f2a</vt:lpwstr>
  </property>
  <property fmtid="{D5CDD505-2E9C-101B-9397-08002B2CF9AE}" pid="12" name="MSIP_Label_43e64453-338c-4f93-8a4d-0039a0a41f2a_SetDate">
    <vt:lpwstr>2022-10-17T01:54:47Z</vt:lpwstr>
  </property>
  <property fmtid="{D5CDD505-2E9C-101B-9397-08002B2CF9AE}" pid="13" name="MSIP_Label_43e64453-338c-4f93-8a4d-0039a0a41f2a_SiteId">
    <vt:lpwstr>c0e0601f-0fac-449c-9c88-a104c4eb9f28</vt:lpwstr>
  </property>
  <property fmtid="{D5CDD505-2E9C-101B-9397-08002B2CF9AE}" pid="14" name="TemplateUrl">
    <vt:lpwstr/>
  </property>
  <property fmtid="{D5CDD505-2E9C-101B-9397-08002B2CF9AE}" pid="15" name="TemplateVersion">
    <vt:i4>1</vt:i4>
  </property>
  <property fmtid="{D5CDD505-2E9C-101B-9397-08002B2CF9AE}" pid="16" name="version">
    <vt:lpwstr>v5 15032021</vt:lpwstr>
  </property>
  <property fmtid="{D5CDD505-2E9C-101B-9397-08002B2CF9AE}" pid="17" name="WebPage">
    <vt:lpwstr>https://dhhsvicgovau.sharepoint.com/:w:/s/health/EfWE1MaM091KmQAbxOV76oQBjlKVGGXZ-KGB_8f7MHqinw, https://dhhsvicgovau.sharepoint.com/:w:/s/health/EfWE1MaM091KmQAbxOV76oQBjlKVGGXZ-KGB_8f7MHqinw</vt:lpwstr>
  </property>
  <property fmtid="{D5CDD505-2E9C-101B-9397-08002B2CF9AE}" pid="18" name="xd_ProgID">
    <vt:lpwstr/>
  </property>
  <property fmtid="{D5CDD505-2E9C-101B-9397-08002B2CF9AE}" pid="19" name="xd_Signature">
    <vt:bool>false</vt:bool>
  </property>
  <property fmtid="{D5CDD505-2E9C-101B-9397-08002B2CF9AE}" pid="20" name="_ExtendedDescription">
    <vt:lpwstr/>
  </property>
  <property fmtid="{D5CDD505-2E9C-101B-9397-08002B2CF9AE}" pid="21" name="_MarkAsFinal">
    <vt:lpwstr>true</vt:lpwstr>
  </property>
</Properties>
</file>